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74DBD" w14:textId="328DD984" w:rsidR="00FE0B82" w:rsidRDefault="00E16BA6" w:rsidP="00FE0B82">
      <w:pPr>
        <w:pStyle w:val="Subtitle"/>
        <w:rPr>
          <w:rStyle w:val="SubtitleChar"/>
          <w:rFonts w:cs="Calibri"/>
          <w:b/>
          <w:bCs/>
          <w:color w:val="auto"/>
          <w:sz w:val="24"/>
          <w:szCs w:val="24"/>
        </w:rPr>
      </w:pPr>
      <w:r w:rsidRPr="003A50B4">
        <w:rPr>
          <w:rStyle w:val="SubtitleChar"/>
          <w:rFonts w:cs="Calibri"/>
          <w:b/>
          <w:bCs/>
          <w:noProof/>
          <w:color w:val="auto"/>
          <w:sz w:val="24"/>
          <w:szCs w:val="24"/>
        </w:rPr>
        <w:drawing>
          <wp:anchor distT="0" distB="0" distL="114300" distR="114300" simplePos="0" relativeHeight="251659264" behindDoc="0" locked="0" layoutInCell="1" allowOverlap="1" wp14:anchorId="6E0D0209" wp14:editId="6CC15F93">
            <wp:simplePos x="0" y="0"/>
            <wp:positionH relativeFrom="margin">
              <wp:posOffset>4791710</wp:posOffset>
            </wp:positionH>
            <wp:positionV relativeFrom="margin">
              <wp:posOffset>-504825</wp:posOffset>
            </wp:positionV>
            <wp:extent cx="1377950" cy="581025"/>
            <wp:effectExtent l="0" t="0" r="0" b="9525"/>
            <wp:wrapSquare wrapText="bothSides"/>
            <wp:docPr id="762458343" name="Picture 2" descr="A blue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58343" name="Picture 2" descr="A blue and gold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7950" cy="581025"/>
                    </a:xfrm>
                    <a:prstGeom prst="rect">
                      <a:avLst/>
                    </a:prstGeom>
                  </pic:spPr>
                </pic:pic>
              </a:graphicData>
            </a:graphic>
            <wp14:sizeRelH relativeFrom="margin">
              <wp14:pctWidth>0</wp14:pctWidth>
            </wp14:sizeRelH>
            <wp14:sizeRelV relativeFrom="margin">
              <wp14:pctHeight>0</wp14:pctHeight>
            </wp14:sizeRelV>
          </wp:anchor>
        </w:drawing>
      </w:r>
    </w:p>
    <w:p w14:paraId="4C134428" w14:textId="2823F5DD" w:rsidR="00FE0B82" w:rsidRPr="000871E3" w:rsidRDefault="00FE0B82" w:rsidP="00FE0B82">
      <w:pPr>
        <w:pStyle w:val="Subtitle"/>
        <w:rPr>
          <w:rFonts w:cs="Calibri"/>
          <w:b/>
          <w:bCs/>
          <w:color w:val="auto"/>
          <w:sz w:val="20"/>
          <w:szCs w:val="20"/>
        </w:rPr>
      </w:pPr>
      <w:r w:rsidRPr="000871E3">
        <w:rPr>
          <w:rStyle w:val="SubtitleChar"/>
          <w:rFonts w:cs="Calibri"/>
          <w:b/>
          <w:bCs/>
          <w:color w:val="auto"/>
          <w:sz w:val="20"/>
          <w:szCs w:val="20"/>
        </w:rPr>
        <w:t>Job Title</w:t>
      </w:r>
      <w:r w:rsidR="00FA35EC" w:rsidRPr="000871E3">
        <w:rPr>
          <w:rStyle w:val="SubtitleChar"/>
          <w:rFonts w:cs="Calibri"/>
          <w:b/>
          <w:bCs/>
          <w:color w:val="auto"/>
          <w:sz w:val="20"/>
          <w:szCs w:val="20"/>
        </w:rPr>
        <w:t>:</w:t>
      </w:r>
      <w:r w:rsidRPr="000871E3">
        <w:rPr>
          <w:rFonts w:cs="Calibri"/>
          <w:b/>
          <w:bCs/>
          <w:color w:val="auto"/>
          <w:sz w:val="20"/>
          <w:szCs w:val="20"/>
        </w:rPr>
        <w:t xml:space="preserve"> </w:t>
      </w:r>
      <w:r w:rsidR="00E16BA6" w:rsidRPr="000871E3">
        <w:rPr>
          <w:rFonts w:cs="Calibri"/>
          <w:b/>
          <w:bCs/>
          <w:color w:val="auto"/>
          <w:sz w:val="20"/>
          <w:szCs w:val="20"/>
        </w:rPr>
        <w:t xml:space="preserve">           </w:t>
      </w:r>
      <w:r w:rsidR="00294AAA">
        <w:rPr>
          <w:rFonts w:cs="Calibri"/>
          <w:color w:val="auto"/>
          <w:sz w:val="20"/>
          <w:szCs w:val="20"/>
        </w:rPr>
        <w:t>Immigration Lead</w:t>
      </w:r>
    </w:p>
    <w:p w14:paraId="774909B5" w14:textId="422361C2" w:rsidR="007F4CF6" w:rsidRDefault="00FE0B82" w:rsidP="007F4CF6">
      <w:pPr>
        <w:pStyle w:val="Subtitle"/>
        <w:rPr>
          <w:rStyle w:val="SubtitleChar"/>
          <w:rFonts w:cs="Calibri"/>
          <w:color w:val="auto"/>
          <w:sz w:val="20"/>
          <w:szCs w:val="20"/>
        </w:rPr>
      </w:pPr>
      <w:r w:rsidRPr="000871E3">
        <w:rPr>
          <w:rStyle w:val="SubtitleChar"/>
          <w:rFonts w:cs="Calibri"/>
          <w:b/>
          <w:bCs/>
          <w:color w:val="auto"/>
          <w:sz w:val="20"/>
          <w:szCs w:val="20"/>
        </w:rPr>
        <w:t>Reporting to</w:t>
      </w:r>
      <w:r w:rsidR="00FA35EC" w:rsidRPr="000871E3">
        <w:rPr>
          <w:rStyle w:val="SubtitleChar"/>
          <w:rFonts w:cs="Calibri"/>
          <w:b/>
          <w:bCs/>
          <w:color w:val="auto"/>
          <w:sz w:val="20"/>
          <w:szCs w:val="20"/>
        </w:rPr>
        <w:t>:</w:t>
      </w:r>
      <w:r w:rsidRPr="000871E3">
        <w:rPr>
          <w:rStyle w:val="SubtitleChar"/>
          <w:rFonts w:cs="Calibri"/>
          <w:b/>
          <w:bCs/>
          <w:color w:val="auto"/>
          <w:sz w:val="20"/>
          <w:szCs w:val="20"/>
        </w:rPr>
        <w:t xml:space="preserve">   </w:t>
      </w:r>
      <w:r w:rsidR="00834F4F" w:rsidRPr="000871E3">
        <w:rPr>
          <w:rStyle w:val="SubtitleChar"/>
          <w:rFonts w:cs="Calibri"/>
          <w:b/>
          <w:bCs/>
          <w:color w:val="auto"/>
          <w:sz w:val="20"/>
          <w:szCs w:val="20"/>
        </w:rPr>
        <w:t xml:space="preserve"> </w:t>
      </w:r>
      <w:r w:rsidR="00F30BDC">
        <w:rPr>
          <w:rStyle w:val="SubtitleChar"/>
          <w:rFonts w:cs="Calibri"/>
          <w:b/>
          <w:bCs/>
          <w:color w:val="auto"/>
          <w:sz w:val="20"/>
          <w:szCs w:val="20"/>
        </w:rPr>
        <w:t xml:space="preserve"> </w:t>
      </w:r>
      <w:r w:rsidR="00616403">
        <w:rPr>
          <w:rStyle w:val="SubtitleChar"/>
          <w:rFonts w:cs="Calibri"/>
          <w:b/>
          <w:bCs/>
          <w:color w:val="auto"/>
          <w:sz w:val="20"/>
          <w:szCs w:val="20"/>
        </w:rPr>
        <w:t xml:space="preserve"> </w:t>
      </w:r>
      <w:r w:rsidR="006B5580">
        <w:rPr>
          <w:rStyle w:val="SubtitleChar"/>
          <w:rFonts w:cs="Calibri"/>
          <w:color w:val="auto"/>
          <w:sz w:val="20"/>
          <w:szCs w:val="20"/>
        </w:rPr>
        <w:t>HR Director</w:t>
      </w:r>
    </w:p>
    <w:p w14:paraId="7E2F9709" w14:textId="4653D0EF" w:rsidR="00B36554" w:rsidRDefault="00B36554" w:rsidP="00B36554">
      <w:r w:rsidRPr="00B36554">
        <w:rPr>
          <w:b/>
          <w:bCs/>
        </w:rPr>
        <w:t>Location:</w:t>
      </w:r>
      <w:r>
        <w:tab/>
        <w:t xml:space="preserve">    </w:t>
      </w:r>
      <w:r w:rsidR="006B5580">
        <w:t>Head Office, Holywood</w:t>
      </w:r>
    </w:p>
    <w:p w14:paraId="6ABDE324" w14:textId="77777777" w:rsidR="00EF2E19" w:rsidRDefault="00EF2E19" w:rsidP="00EF2E19">
      <w:pPr>
        <w:pStyle w:val="Subtitle"/>
        <w:pBdr>
          <w:bottom w:val="single" w:sz="12" w:space="1" w:color="auto"/>
        </w:pBdr>
        <w:rPr>
          <w:rFonts w:cs="Calibri"/>
          <w:b/>
          <w:bCs/>
          <w:color w:val="auto"/>
          <w:sz w:val="20"/>
          <w:szCs w:val="20"/>
        </w:rPr>
      </w:pPr>
    </w:p>
    <w:p w14:paraId="09BC1CD7" w14:textId="088A6D7E" w:rsidR="00D168E8" w:rsidRDefault="00C21FFF" w:rsidP="00D168E8">
      <w:pPr>
        <w:pStyle w:val="Subtitle"/>
        <w:pBdr>
          <w:bottom w:val="single" w:sz="12" w:space="1" w:color="auto"/>
        </w:pBdr>
        <w:rPr>
          <w:rFonts w:cs="Calibri"/>
          <w:b/>
          <w:bCs/>
          <w:color w:val="auto"/>
          <w:sz w:val="20"/>
          <w:szCs w:val="20"/>
        </w:rPr>
      </w:pPr>
      <w:r>
        <w:rPr>
          <w:rFonts w:cs="Calibri"/>
          <w:b/>
          <w:bCs/>
          <w:color w:val="auto"/>
          <w:sz w:val="20"/>
          <w:szCs w:val="20"/>
        </w:rPr>
        <w:t>About the role</w:t>
      </w:r>
    </w:p>
    <w:p w14:paraId="3B3D4ABA" w14:textId="2BCAF9DF" w:rsidR="004D629B" w:rsidRDefault="004D629B" w:rsidP="004D629B">
      <w:r>
        <w:t xml:space="preserve">Healthcare Ireland Group operates a network of care homes across </w:t>
      </w:r>
      <w:r w:rsidR="006B5580">
        <w:t xml:space="preserve">Northern Ireland, </w:t>
      </w:r>
      <w:r>
        <w:t>England</w:t>
      </w:r>
      <w:r w:rsidR="00926EB6">
        <w:t>, Scotland</w:t>
      </w:r>
      <w:r>
        <w:t xml:space="preserve"> and </w:t>
      </w:r>
      <w:r w:rsidR="00926EB6">
        <w:t>Wales</w:t>
      </w:r>
      <w:r>
        <w:t>, delivering person-centred, compassionate, and safe care. Our mission is to enhance residents’ lives, support our people, and drive continuous improvement through strong leadership, innovation, and values-led decision-making.</w:t>
      </w:r>
    </w:p>
    <w:p w14:paraId="458F9AF8" w14:textId="77777777" w:rsidR="004D629B" w:rsidRDefault="004D629B" w:rsidP="004D629B"/>
    <w:p w14:paraId="05912398" w14:textId="6424E456" w:rsidR="00C609C5" w:rsidRDefault="00C609C5" w:rsidP="00C609C5">
      <w:pPr>
        <w:spacing w:before="80" w:after="80"/>
        <w:rPr>
          <w:rFonts w:eastAsia="Arial" w:cs="Calibri"/>
          <w:szCs w:val="20"/>
        </w:rPr>
      </w:pPr>
      <w:r w:rsidRPr="00A75CB5">
        <w:rPr>
          <w:rFonts w:eastAsia="Arial" w:cs="Calibri"/>
          <w:szCs w:val="20"/>
        </w:rPr>
        <w:t xml:space="preserve">The Immigration Lead is a specialist role within the </w:t>
      </w:r>
      <w:r w:rsidR="00A72452">
        <w:rPr>
          <w:rFonts w:eastAsia="Arial" w:cs="Calibri"/>
          <w:szCs w:val="20"/>
        </w:rPr>
        <w:t>HR</w:t>
      </w:r>
      <w:r w:rsidRPr="00A75CB5">
        <w:rPr>
          <w:rFonts w:eastAsia="Arial" w:cs="Calibri"/>
          <w:szCs w:val="20"/>
        </w:rPr>
        <w:t xml:space="preserve"> Directorate, responsible for managing all aspects of Healthcare Ireland’s immigration and sponsorship licence compliance across the Group. Reporting directly to the </w:t>
      </w:r>
      <w:r w:rsidR="00D33922">
        <w:rPr>
          <w:rFonts w:eastAsia="Arial" w:cs="Calibri"/>
          <w:szCs w:val="20"/>
        </w:rPr>
        <w:t>HR</w:t>
      </w:r>
      <w:r w:rsidRPr="00A75CB5">
        <w:rPr>
          <w:rFonts w:eastAsia="Arial" w:cs="Calibri"/>
          <w:szCs w:val="20"/>
        </w:rPr>
        <w:t xml:space="preserve"> Director, the postholder is the Group’s subject matter expert on UK immigration law and UKVI (UK Visas and Immigration) requirements — ensuring Healthcare Ireland’s sponsorship licence obligations are fully met, that international recruits are supported through the visa and right-to-work process, and that the Group is protected from the significant financial and reputational risks that immigration non-compliance can carry.</w:t>
      </w:r>
    </w:p>
    <w:p w14:paraId="55DA1833" w14:textId="77777777" w:rsidR="00C609C5" w:rsidRPr="00A75CB5" w:rsidRDefault="00C609C5" w:rsidP="00C609C5">
      <w:pPr>
        <w:spacing w:before="80" w:after="80"/>
        <w:rPr>
          <w:rFonts w:cs="Calibri"/>
          <w:szCs w:val="20"/>
        </w:rPr>
      </w:pPr>
    </w:p>
    <w:p w14:paraId="2C0F3165" w14:textId="4D3188C9" w:rsidR="00C609C5" w:rsidRPr="00A75CB5" w:rsidRDefault="00C609C5" w:rsidP="00C609C5">
      <w:pPr>
        <w:spacing w:before="80" w:after="80"/>
        <w:rPr>
          <w:rFonts w:cs="Calibri"/>
          <w:szCs w:val="20"/>
        </w:rPr>
      </w:pPr>
      <w:r w:rsidRPr="00A75CB5">
        <w:rPr>
          <w:rFonts w:eastAsia="Arial" w:cs="Calibri"/>
          <w:szCs w:val="20"/>
        </w:rPr>
        <w:t>Healthcare Ireland recruits internationally to help meet the staffing demands of a large and growing care portfolio, and immigration compliance is therefore a business-critical function. The Immigration Lead works closely with the</w:t>
      </w:r>
      <w:r w:rsidR="00D33922">
        <w:rPr>
          <w:rFonts w:eastAsia="Arial" w:cs="Calibri"/>
          <w:szCs w:val="20"/>
        </w:rPr>
        <w:t xml:space="preserve"> Head of HR, HR Team Lead Recruitment Manager and Team Lead</w:t>
      </w:r>
      <w:r w:rsidRPr="00A75CB5">
        <w:rPr>
          <w:rFonts w:eastAsia="Arial" w:cs="Calibri"/>
          <w:szCs w:val="20"/>
        </w:rPr>
        <w:t xml:space="preserve"> and external legal advisers to ensure that every stage of the international recruitment and employment journey</w:t>
      </w:r>
      <w:r w:rsidR="00D33922">
        <w:rPr>
          <w:rFonts w:eastAsia="Arial" w:cs="Calibri"/>
          <w:szCs w:val="20"/>
        </w:rPr>
        <w:t xml:space="preserve"> -</w:t>
      </w:r>
      <w:r w:rsidRPr="00A75CB5">
        <w:rPr>
          <w:rFonts w:eastAsia="Arial" w:cs="Calibri"/>
          <w:szCs w:val="20"/>
        </w:rPr>
        <w:t xml:space="preserve"> from visa application through to ongoing worker monitoring and licence audit readiness </w:t>
      </w:r>
      <w:r w:rsidR="00D33922">
        <w:rPr>
          <w:rFonts w:eastAsia="Arial" w:cs="Calibri"/>
          <w:szCs w:val="20"/>
        </w:rPr>
        <w:t xml:space="preserve">- </w:t>
      </w:r>
      <w:r w:rsidRPr="00A75CB5">
        <w:rPr>
          <w:rFonts w:eastAsia="Arial" w:cs="Calibri"/>
          <w:szCs w:val="20"/>
        </w:rPr>
        <w:t>is managed accurately, compliantly, and with genuine care for the individuals involved.</w:t>
      </w:r>
    </w:p>
    <w:p w14:paraId="0593D588" w14:textId="77777777" w:rsidR="000654E1" w:rsidRPr="00654565" w:rsidRDefault="000654E1" w:rsidP="00766A7A"/>
    <w:p w14:paraId="2E91D43D" w14:textId="77777777" w:rsidR="009B3E8C" w:rsidRPr="005622C2" w:rsidRDefault="009B3E8C" w:rsidP="00EF2E19">
      <w:pPr>
        <w:shd w:val="clear" w:color="auto" w:fill="C6A466"/>
        <w:jc w:val="center"/>
        <w:outlineLvl w:val="2"/>
        <w:rPr>
          <w:rFonts w:eastAsia="Times New Roman" w:cs="Calibri"/>
          <w:b/>
          <w:bCs/>
          <w:color w:val="FFFFFF"/>
          <w:kern w:val="0"/>
          <w:szCs w:val="20"/>
          <w:lang w:eastAsia="en-GB"/>
          <w14:ligatures w14:val="none"/>
        </w:rPr>
      </w:pPr>
      <w:r w:rsidRPr="005622C2">
        <w:rPr>
          <w:rFonts w:eastAsia="Times New Roman" w:cs="Calibri"/>
          <w:b/>
          <w:bCs/>
          <w:color w:val="FFFFFF"/>
          <w:kern w:val="0"/>
          <w:szCs w:val="20"/>
          <w:lang w:eastAsia="en-GB"/>
          <w14:ligatures w14:val="none"/>
        </w:rPr>
        <w:t>OUR HOMES PROVIDE AN ENVIRONMENT WHERE INDIVIDUALITY IS EMPHASISED AND THE PRIVACY</w:t>
      </w:r>
      <w:r w:rsidRPr="005622C2">
        <w:rPr>
          <w:rFonts w:eastAsia="Times New Roman" w:cs="Calibri"/>
          <w:b/>
          <w:bCs/>
          <w:color w:val="FFFFFF"/>
          <w:kern w:val="0"/>
          <w:szCs w:val="20"/>
          <w:lang w:eastAsia="en-GB"/>
          <w14:ligatures w14:val="none"/>
        </w:rPr>
        <w:br/>
        <w:t>AND DIGNITY OF ALL OUR RESIDENTS IS RECOGNISED</w:t>
      </w:r>
    </w:p>
    <w:p w14:paraId="422D68A8" w14:textId="77777777" w:rsidR="00267244" w:rsidRPr="005622C2" w:rsidRDefault="00267244" w:rsidP="00EF2E19">
      <w:pPr>
        <w:rPr>
          <w:rFonts w:cs="Calibri"/>
          <w:szCs w:val="20"/>
        </w:rPr>
      </w:pPr>
    </w:p>
    <w:p w14:paraId="5900A6B1" w14:textId="752E4D76" w:rsidR="00881163" w:rsidRPr="005622C2" w:rsidRDefault="00092851" w:rsidP="00EF2E19">
      <w:pPr>
        <w:pStyle w:val="Subtitle"/>
        <w:pBdr>
          <w:bottom w:val="single" w:sz="12" w:space="1" w:color="auto"/>
        </w:pBdr>
        <w:rPr>
          <w:rFonts w:cs="Calibri"/>
          <w:b/>
          <w:bCs/>
          <w:color w:val="auto"/>
          <w:sz w:val="20"/>
          <w:szCs w:val="20"/>
        </w:rPr>
      </w:pPr>
      <w:r w:rsidRPr="005622C2">
        <w:rPr>
          <w:rFonts w:cs="Calibri"/>
          <w:b/>
          <w:bCs/>
          <w:color w:val="auto"/>
          <w:sz w:val="20"/>
          <w:szCs w:val="20"/>
        </w:rPr>
        <w:t xml:space="preserve">Duties and </w:t>
      </w:r>
      <w:r w:rsidR="00D168E8">
        <w:rPr>
          <w:rFonts w:cs="Calibri"/>
          <w:b/>
          <w:bCs/>
          <w:color w:val="auto"/>
          <w:sz w:val="20"/>
          <w:szCs w:val="20"/>
        </w:rPr>
        <w:t>R</w:t>
      </w:r>
      <w:r w:rsidRPr="005622C2">
        <w:rPr>
          <w:rFonts w:cs="Calibri"/>
          <w:b/>
          <w:bCs/>
          <w:color w:val="auto"/>
          <w:sz w:val="20"/>
          <w:szCs w:val="20"/>
        </w:rPr>
        <w:t>esponsibilities</w:t>
      </w:r>
    </w:p>
    <w:p w14:paraId="599A43D9" w14:textId="77777777" w:rsidR="000B442C" w:rsidRDefault="000B442C" w:rsidP="000B442C">
      <w:pPr>
        <w:rPr>
          <w:rFonts w:cs="Calibri"/>
          <w:b/>
          <w:bCs/>
          <w:color w:val="auto"/>
          <w:szCs w:val="20"/>
        </w:rPr>
      </w:pPr>
    </w:p>
    <w:p w14:paraId="63199C77" w14:textId="77777777" w:rsidR="00BC4339" w:rsidRPr="00A75CB5" w:rsidRDefault="00BC4339" w:rsidP="00BC4339">
      <w:pPr>
        <w:spacing w:before="80" w:after="80"/>
        <w:rPr>
          <w:rFonts w:cs="Calibri"/>
          <w:szCs w:val="20"/>
        </w:rPr>
      </w:pPr>
      <w:r w:rsidRPr="00A75CB5">
        <w:rPr>
          <w:rFonts w:eastAsia="Arial" w:cs="Calibri"/>
          <w:b/>
          <w:bCs/>
          <w:szCs w:val="20"/>
        </w:rPr>
        <w:t>Sponsorship Licence Management</w:t>
      </w:r>
    </w:p>
    <w:p w14:paraId="6894718C" w14:textId="5936DC3B"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Act as the Group’s primary point of responsibility for the management and maintenance of Healthcare Ireland’s UKVI sponsorship licence</w:t>
      </w:r>
      <w:r w:rsidR="00302061">
        <w:rPr>
          <w:rFonts w:eastAsia="Arial" w:cs="Calibri"/>
          <w:szCs w:val="20"/>
        </w:rPr>
        <w:t>s</w:t>
      </w:r>
      <w:r w:rsidRPr="00A75CB5">
        <w:rPr>
          <w:rFonts w:eastAsia="Arial" w:cs="Calibri"/>
          <w:szCs w:val="20"/>
        </w:rPr>
        <w:t>, ensuring the licence remains in good standing and that all obligations are met at all times.</w:t>
      </w:r>
    </w:p>
    <w:p w14:paraId="21D4EC6A"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Fulfil the duties of a key contact and/or authorising officer on the sponsorship licence as required, maintaining a thorough and up-to-date understanding of the responsibilities this carries under UKVI requirements.</w:t>
      </w:r>
    </w:p>
    <w:p w14:paraId="007E6F36"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Ensure the Group’s sponsorship management system (SMS) is accurately maintained, including the timely assignment of Certificates of Sponsorship (</w:t>
      </w:r>
      <w:proofErr w:type="spellStart"/>
      <w:r w:rsidRPr="00A75CB5">
        <w:rPr>
          <w:rFonts w:eastAsia="Arial" w:cs="Calibri"/>
          <w:szCs w:val="20"/>
        </w:rPr>
        <w:t>CoS</w:t>
      </w:r>
      <w:proofErr w:type="spellEnd"/>
      <w:r w:rsidRPr="00A75CB5">
        <w:rPr>
          <w:rFonts w:eastAsia="Arial" w:cs="Calibri"/>
          <w:szCs w:val="20"/>
        </w:rPr>
        <w:t>), updating of worker records, and reporting of any changes in sponsored worker circumstances to UKVI within required timescales.</w:t>
      </w:r>
    </w:p>
    <w:p w14:paraId="0D7D0FC9"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Monitor licence compliance on an ongoing basis, conducting regular internal audits of sponsored worker records and right-to-work documentation to ensure the Group is consistently audit-ready.</w:t>
      </w:r>
    </w:p>
    <w:p w14:paraId="11D34919"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Manage any UKVI compliance visits or audits, preparing documentation, briefing relevant colleagues, and liaising with legal advisers to ensure the Group presents a strong and well-evidenced compliance position.</w:t>
      </w:r>
    </w:p>
    <w:p w14:paraId="71A7F01A"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Ensure the sponsorship licence is renewed in a timely manner and that any changes to the licence — including additions of roles, changes to licence holders, or upgrades — are managed correctly and promptly.</w:t>
      </w:r>
    </w:p>
    <w:p w14:paraId="52B2F77D" w14:textId="77777777" w:rsidR="00BC4339" w:rsidRDefault="00BC4339" w:rsidP="00BC4339">
      <w:pPr>
        <w:rPr>
          <w:rFonts w:cs="Calibri"/>
          <w:szCs w:val="20"/>
        </w:rPr>
      </w:pPr>
    </w:p>
    <w:p w14:paraId="1ADFFB35" w14:textId="77777777" w:rsidR="00616403" w:rsidRDefault="00616403" w:rsidP="00BC4339">
      <w:pPr>
        <w:rPr>
          <w:rFonts w:cs="Calibri"/>
          <w:szCs w:val="20"/>
        </w:rPr>
      </w:pPr>
    </w:p>
    <w:p w14:paraId="3FFA1E46" w14:textId="77777777" w:rsidR="00616403" w:rsidRDefault="00616403" w:rsidP="00BC4339">
      <w:pPr>
        <w:rPr>
          <w:rFonts w:cs="Calibri"/>
          <w:szCs w:val="20"/>
        </w:rPr>
      </w:pPr>
    </w:p>
    <w:p w14:paraId="2FC6C8F2" w14:textId="77777777" w:rsidR="00616403" w:rsidRDefault="00616403" w:rsidP="00BC4339">
      <w:pPr>
        <w:rPr>
          <w:rFonts w:cs="Calibri"/>
          <w:szCs w:val="20"/>
        </w:rPr>
      </w:pPr>
    </w:p>
    <w:p w14:paraId="413E637A" w14:textId="77777777" w:rsidR="00616403" w:rsidRPr="00A75CB5" w:rsidRDefault="00616403" w:rsidP="00BC4339">
      <w:pPr>
        <w:rPr>
          <w:rFonts w:cs="Calibri"/>
          <w:szCs w:val="20"/>
        </w:rPr>
      </w:pPr>
    </w:p>
    <w:p w14:paraId="36CD5725" w14:textId="77777777" w:rsidR="00BC4339" w:rsidRPr="00A75CB5" w:rsidRDefault="00BC4339" w:rsidP="00BC4339">
      <w:pPr>
        <w:spacing w:before="80" w:after="80"/>
        <w:rPr>
          <w:rFonts w:cs="Calibri"/>
          <w:szCs w:val="20"/>
        </w:rPr>
      </w:pPr>
      <w:r w:rsidRPr="00A75CB5">
        <w:rPr>
          <w:rFonts w:eastAsia="Arial" w:cs="Calibri"/>
          <w:b/>
          <w:bCs/>
          <w:szCs w:val="20"/>
        </w:rPr>
        <w:lastRenderedPageBreak/>
        <w:t>Visa Applications &amp; Certificate of Sponsorship</w:t>
      </w:r>
    </w:p>
    <w:p w14:paraId="7E94ED05"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Manage the end-to-end process for Skilled Worker visa applications and Certificate of Sponsorship (</w:t>
      </w:r>
      <w:proofErr w:type="spellStart"/>
      <w:r w:rsidRPr="00A75CB5">
        <w:rPr>
          <w:rFonts w:eastAsia="Arial" w:cs="Calibri"/>
          <w:szCs w:val="20"/>
        </w:rPr>
        <w:t>CoS</w:t>
      </w:r>
      <w:proofErr w:type="spellEnd"/>
      <w:r w:rsidRPr="00A75CB5">
        <w:rPr>
          <w:rFonts w:eastAsia="Arial" w:cs="Calibri"/>
          <w:szCs w:val="20"/>
        </w:rPr>
        <w:t>) assignments for all international recruits across the Group, ensuring applications are accurate, complete, and submitted within required timescales.</w:t>
      </w:r>
    </w:p>
    <w:p w14:paraId="3255DD11"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 xml:space="preserve">Assess the eligibility of roles and candidates for sponsorship under the Skilled Worker route, ensuring salary thresholds, occupation code requirements, and other UKVI criteria are met before a </w:t>
      </w:r>
      <w:proofErr w:type="spellStart"/>
      <w:r w:rsidRPr="00A75CB5">
        <w:rPr>
          <w:rFonts w:eastAsia="Arial" w:cs="Calibri"/>
          <w:szCs w:val="20"/>
        </w:rPr>
        <w:t>CoS</w:t>
      </w:r>
      <w:proofErr w:type="spellEnd"/>
      <w:r w:rsidRPr="00A75CB5">
        <w:rPr>
          <w:rFonts w:eastAsia="Arial" w:cs="Calibri"/>
          <w:szCs w:val="20"/>
        </w:rPr>
        <w:t xml:space="preserve"> is assigned.</w:t>
      </w:r>
    </w:p>
    <w:p w14:paraId="230E9F95"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Liaise with candidates, hiring managers, Regional Recruiters, and external immigration legal advisers throughout the visa application process, providing clear guidance on requirements, timelines, and next steps.</w:t>
      </w:r>
    </w:p>
    <w:p w14:paraId="030CD8C5"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Support international recruits in understanding the visa application process, the documents they need to provide, and what to expect at each stage, ensuring they feel informed and supported throughout.</w:t>
      </w:r>
    </w:p>
    <w:p w14:paraId="1EE4B58A"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Monitor visa application progress and expiry dates across the sponsored worker population, maintaining an accurate tracker and proactively initiating renewal or extension processes well in advance of expiry.</w:t>
      </w:r>
    </w:p>
    <w:p w14:paraId="47153CE9" w14:textId="77777777" w:rsidR="00BC4339" w:rsidRPr="00A75CB5" w:rsidRDefault="00BC4339" w:rsidP="00BC4339">
      <w:pPr>
        <w:rPr>
          <w:rFonts w:cs="Calibri"/>
          <w:szCs w:val="20"/>
        </w:rPr>
      </w:pPr>
    </w:p>
    <w:p w14:paraId="14CE95F5" w14:textId="77777777" w:rsidR="00BC4339" w:rsidRPr="00A75CB5" w:rsidRDefault="00BC4339" w:rsidP="00BC4339">
      <w:pPr>
        <w:spacing w:before="80" w:after="80"/>
        <w:rPr>
          <w:rFonts w:cs="Calibri"/>
          <w:szCs w:val="20"/>
        </w:rPr>
      </w:pPr>
      <w:r w:rsidRPr="00A75CB5">
        <w:rPr>
          <w:rFonts w:eastAsia="Arial" w:cs="Calibri"/>
          <w:b/>
          <w:bCs/>
          <w:szCs w:val="20"/>
        </w:rPr>
        <w:t>Right-to-Work Compliance</w:t>
      </w:r>
    </w:p>
    <w:p w14:paraId="545B8D47"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Oversee right-to-work compliance for all sponsored and international workers across the Group, ensuring checks are conducted correctly, documented accurately, and repeated at the appropriate intervals for time-limited permissions.</w:t>
      </w:r>
    </w:p>
    <w:p w14:paraId="5747BC40"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Work closely with the Onboarding team and HR Advisors to ensure right-to-work processes for all worker types — including British, EEA settled status, and sponsored workers — are applied correctly and consistently across all homes and central functions.</w:t>
      </w:r>
    </w:p>
    <w:p w14:paraId="760DCCD2"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Maintain a comprehensive right-to-work tracker for all workers with time-limited permissions, proactively flagging upcoming expiries to the relevant HR Advisor and Home Manager to ensure repeat checks and any necessary visa actions are completed on time.</w:t>
      </w:r>
    </w:p>
    <w:p w14:paraId="0A7791DF" w14:textId="20945866"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 xml:space="preserve">Advise the </w:t>
      </w:r>
      <w:r w:rsidR="00C71E12">
        <w:rPr>
          <w:rFonts w:eastAsia="Arial" w:cs="Calibri"/>
          <w:szCs w:val="20"/>
        </w:rPr>
        <w:t>Recruitment Teams</w:t>
      </w:r>
      <w:r w:rsidRPr="00A75CB5">
        <w:rPr>
          <w:rFonts w:eastAsia="Arial" w:cs="Calibri"/>
          <w:szCs w:val="20"/>
        </w:rPr>
        <w:t xml:space="preserve"> on right-to-work requirements for specific candidate types, ensuring the recruitment and onboarding process reflects current Home Office requirements.</w:t>
      </w:r>
    </w:p>
    <w:p w14:paraId="2823DBF9" w14:textId="30232F10"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 xml:space="preserve">Escalate any right-to-work concerns, potential illegal working risks, or suspected document irregularities to the </w:t>
      </w:r>
      <w:r w:rsidR="00C71E12">
        <w:rPr>
          <w:rFonts w:eastAsia="Arial" w:cs="Calibri"/>
          <w:szCs w:val="20"/>
        </w:rPr>
        <w:t>HR</w:t>
      </w:r>
      <w:r w:rsidRPr="00A75CB5">
        <w:rPr>
          <w:rFonts w:eastAsia="Arial" w:cs="Calibri"/>
          <w:szCs w:val="20"/>
        </w:rPr>
        <w:t xml:space="preserve"> Director and, where appropriate, legal advisers immediately, in line with Healthcare Ireland’s legal obligations.</w:t>
      </w:r>
    </w:p>
    <w:p w14:paraId="02BAAFA2" w14:textId="77777777" w:rsidR="00BC4339" w:rsidRPr="00A75CB5" w:rsidRDefault="00BC4339" w:rsidP="00BC4339">
      <w:pPr>
        <w:rPr>
          <w:rFonts w:cs="Calibri"/>
          <w:szCs w:val="20"/>
        </w:rPr>
      </w:pPr>
    </w:p>
    <w:p w14:paraId="4EF09AF7" w14:textId="77777777" w:rsidR="00BC4339" w:rsidRPr="00A75CB5" w:rsidRDefault="00BC4339" w:rsidP="00BC4339">
      <w:pPr>
        <w:spacing w:before="80" w:after="80"/>
        <w:rPr>
          <w:rFonts w:cs="Calibri"/>
          <w:szCs w:val="20"/>
        </w:rPr>
      </w:pPr>
      <w:r w:rsidRPr="00A75CB5">
        <w:rPr>
          <w:rFonts w:eastAsia="Arial" w:cs="Calibri"/>
          <w:b/>
          <w:bCs/>
          <w:szCs w:val="20"/>
        </w:rPr>
        <w:t>Sponsored Worker Monitoring &amp; Reporting Duties</w:t>
      </w:r>
    </w:p>
    <w:p w14:paraId="7F75C9A6"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Fulfil the Group’s ongoing sponsored worker monitoring obligations under UKVI requirements, including tracking attendance, reporting changes in worker circumstances, and notifying UKVI of any relevant events — such as a worker failing to report for work, changing roles, or leaving the organisation — within the required reporting window.</w:t>
      </w:r>
    </w:p>
    <w:p w14:paraId="64C5E6EE"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 xml:space="preserve">Maintain accurate and up-to-date records of all sponsored workers, including their visa status, </w:t>
      </w:r>
      <w:proofErr w:type="spellStart"/>
      <w:r w:rsidRPr="00A75CB5">
        <w:rPr>
          <w:rFonts w:eastAsia="Arial" w:cs="Calibri"/>
          <w:szCs w:val="20"/>
        </w:rPr>
        <w:t>CoS</w:t>
      </w:r>
      <w:proofErr w:type="spellEnd"/>
      <w:r w:rsidRPr="00A75CB5">
        <w:rPr>
          <w:rFonts w:eastAsia="Arial" w:cs="Calibri"/>
          <w:szCs w:val="20"/>
        </w:rPr>
        <w:t xml:space="preserve"> details, passport and visa document copies, and any changes to their employment terms that may affect their sponsored status.</w:t>
      </w:r>
    </w:p>
    <w:p w14:paraId="17391B98" w14:textId="61CF7868"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 xml:space="preserve">Work with Home Managers, HR Advisors, and the </w:t>
      </w:r>
      <w:r w:rsidR="00C71E12">
        <w:rPr>
          <w:rFonts w:eastAsia="Arial" w:cs="Calibri"/>
          <w:szCs w:val="20"/>
        </w:rPr>
        <w:t>HR</w:t>
      </w:r>
      <w:r w:rsidRPr="00A75CB5">
        <w:rPr>
          <w:rFonts w:eastAsia="Arial" w:cs="Calibri"/>
          <w:szCs w:val="20"/>
        </w:rPr>
        <w:t xml:space="preserve"> Director to ensure that any changes to a sponsored worker’s role, hours, salary, or location are assessed for immigration implications before being implemented, and that UKVI is notified where required.</w:t>
      </w:r>
    </w:p>
    <w:p w14:paraId="04E4559D"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Ensure sponsored workers are clearly informed of their own obligations under their visa conditions, including restrictions on additional employment, and that any concerns about compliance with visa conditions are escalated promptly.</w:t>
      </w:r>
    </w:p>
    <w:p w14:paraId="46B50EC6" w14:textId="77777777" w:rsidR="00BC4339" w:rsidRPr="00A75CB5" w:rsidRDefault="00BC4339" w:rsidP="00BC4339">
      <w:pPr>
        <w:rPr>
          <w:rFonts w:cs="Calibri"/>
          <w:szCs w:val="20"/>
        </w:rPr>
      </w:pPr>
    </w:p>
    <w:p w14:paraId="2B049840" w14:textId="77777777" w:rsidR="00BC4339" w:rsidRPr="00A75CB5" w:rsidRDefault="00BC4339" w:rsidP="00BC4339">
      <w:pPr>
        <w:spacing w:before="80" w:after="80"/>
        <w:rPr>
          <w:rFonts w:cs="Calibri"/>
          <w:szCs w:val="20"/>
        </w:rPr>
      </w:pPr>
      <w:r w:rsidRPr="00A75CB5">
        <w:rPr>
          <w:rFonts w:eastAsia="Arial" w:cs="Calibri"/>
          <w:b/>
          <w:bCs/>
          <w:szCs w:val="20"/>
        </w:rPr>
        <w:t>International Recruitment Support</w:t>
      </w:r>
    </w:p>
    <w:p w14:paraId="6A518C50" w14:textId="107DBF6D"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 xml:space="preserve">Work closely with the </w:t>
      </w:r>
      <w:r w:rsidR="00C71E12">
        <w:rPr>
          <w:rFonts w:eastAsia="Arial" w:cs="Calibri"/>
          <w:szCs w:val="20"/>
        </w:rPr>
        <w:t>Recruitment Team</w:t>
      </w:r>
      <w:r w:rsidRPr="00A75CB5">
        <w:rPr>
          <w:rFonts w:eastAsia="Arial" w:cs="Calibri"/>
          <w:szCs w:val="20"/>
        </w:rPr>
        <w:t xml:space="preserve"> to support international recruitment campaigns, providing immigration expertise at the candidate attraction, selection, and pre-employment stages.</w:t>
      </w:r>
    </w:p>
    <w:p w14:paraId="5580DAB0"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lastRenderedPageBreak/>
        <w:t>Advise on the immigration implications of planned international recruitment activity, including the availability of appropriate occupation codes, salary threshold requirements, and the lead times involved in sponsorship and visa processing.</w:t>
      </w:r>
    </w:p>
    <w:p w14:paraId="4B5274EB"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Support the development of clear candidate-facing information and guidance materials on the Skilled Worker visa process, ensuring international recruits receive accurate, accessible, and reassuring information about what their journey to working in the UK will involve.</w:t>
      </w:r>
    </w:p>
    <w:p w14:paraId="355C3330"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Liaise with the Onboarding team to ensure that the onboarding process for internationally recruited workers is appropriately tailored, with additional support, clear communication, and well-coordinated pre-arrival arrangements where applicable.</w:t>
      </w:r>
    </w:p>
    <w:p w14:paraId="2D248DC8" w14:textId="77777777" w:rsidR="00BC4339" w:rsidRPr="00A75CB5" w:rsidRDefault="00BC4339" w:rsidP="00BC4339">
      <w:pPr>
        <w:rPr>
          <w:rFonts w:cs="Calibri"/>
          <w:szCs w:val="20"/>
        </w:rPr>
      </w:pPr>
    </w:p>
    <w:p w14:paraId="6E600739" w14:textId="77777777" w:rsidR="00BC4339" w:rsidRPr="00A75CB5" w:rsidRDefault="00BC4339" w:rsidP="00BC4339">
      <w:pPr>
        <w:spacing w:before="80" w:after="80"/>
        <w:rPr>
          <w:rFonts w:cs="Calibri"/>
          <w:szCs w:val="20"/>
        </w:rPr>
      </w:pPr>
      <w:r w:rsidRPr="00A75CB5">
        <w:rPr>
          <w:rFonts w:eastAsia="Arial" w:cs="Calibri"/>
          <w:b/>
          <w:bCs/>
          <w:szCs w:val="20"/>
        </w:rPr>
        <w:t>Policy, Training &amp; Internal Knowledge</w:t>
      </w:r>
    </w:p>
    <w:p w14:paraId="7502002D"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Develop and maintain Healthcare Ireland’s immigration policies, procedures, and guidance documents, ensuring they are accurate, up to date, and clearly written for both HR and operational audiences.</w:t>
      </w:r>
    </w:p>
    <w:p w14:paraId="68CDC2E5"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Provide training and guidance to HR Advisors, Onboarding Clerks, Regional Recruiters, and Home Administrators on right-to-work requirements, sponsorship obligations, and immigration compliance — building awareness and capability across the teams whose day-to-day work intersects with immigration compliance.</w:t>
      </w:r>
    </w:p>
    <w:p w14:paraId="38BAB178"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Stay current with all changes to UK immigration law, UKVI guidance, Home Office policy, and case law that affect the Group’s sponsorship obligations or right-to-work requirements, assessing implications and updating internal processes accordingly.</w:t>
      </w:r>
    </w:p>
    <w:p w14:paraId="6D37201C"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Work with external immigration legal advisers to seek expert input on complex cases, novel situations, or areas of legal uncertainty, managing those relationships effectively and ensuring advice is appropriately acted upon.</w:t>
      </w:r>
    </w:p>
    <w:p w14:paraId="76D7B201" w14:textId="77777777" w:rsidR="00BC4339" w:rsidRPr="00A75CB5" w:rsidRDefault="00BC4339" w:rsidP="00BC4339">
      <w:pPr>
        <w:rPr>
          <w:rFonts w:cs="Calibri"/>
          <w:szCs w:val="20"/>
        </w:rPr>
      </w:pPr>
    </w:p>
    <w:p w14:paraId="4BD4B67D" w14:textId="77777777" w:rsidR="00BC4339" w:rsidRPr="00A75CB5" w:rsidRDefault="00BC4339" w:rsidP="00BC4339">
      <w:pPr>
        <w:spacing w:before="80" w:after="80"/>
        <w:rPr>
          <w:rFonts w:cs="Calibri"/>
          <w:szCs w:val="20"/>
        </w:rPr>
      </w:pPr>
      <w:r w:rsidRPr="00A75CB5">
        <w:rPr>
          <w:rFonts w:eastAsia="Arial" w:cs="Calibri"/>
          <w:b/>
          <w:bCs/>
          <w:szCs w:val="20"/>
        </w:rPr>
        <w:t>Audit Readiness &amp; Risk Management</w:t>
      </w:r>
    </w:p>
    <w:p w14:paraId="3A69C96E"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 xml:space="preserve">Maintain the Group’s immigration compliance records to a standard that is always audit-ready, ensuring that all sponsored worker files, </w:t>
      </w:r>
      <w:proofErr w:type="spellStart"/>
      <w:r w:rsidRPr="00A75CB5">
        <w:rPr>
          <w:rFonts w:eastAsia="Arial" w:cs="Calibri"/>
          <w:szCs w:val="20"/>
        </w:rPr>
        <w:t>CoS</w:t>
      </w:r>
      <w:proofErr w:type="spellEnd"/>
      <w:r w:rsidRPr="00A75CB5">
        <w:rPr>
          <w:rFonts w:eastAsia="Arial" w:cs="Calibri"/>
          <w:szCs w:val="20"/>
        </w:rPr>
        <w:t xml:space="preserve"> documentation, right-to-work records, and SMS entries would withstand scrutiny in a UKVI compliance visit.</w:t>
      </w:r>
    </w:p>
    <w:p w14:paraId="076149A5"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Conduct regular internal immigration audits across the Group, identifying gaps, errors, or risks in sponsored worker records or right-to-work documentation and working with relevant teams to resolve them promptly.</w:t>
      </w:r>
    </w:p>
    <w:p w14:paraId="3A52F9C3" w14:textId="348882D1"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 xml:space="preserve">Maintain the Group’s immigration risk register, proactively identifying and escalating risks to the </w:t>
      </w:r>
      <w:r w:rsidR="00056BED">
        <w:rPr>
          <w:rFonts w:eastAsia="Arial" w:cs="Calibri"/>
          <w:szCs w:val="20"/>
        </w:rPr>
        <w:t xml:space="preserve">HR </w:t>
      </w:r>
      <w:r w:rsidRPr="00A75CB5">
        <w:rPr>
          <w:rFonts w:eastAsia="Arial" w:cs="Calibri"/>
          <w:szCs w:val="20"/>
        </w:rPr>
        <w:t xml:space="preserve"> Director and taking action to mitigate them before they crystallise.</w:t>
      </w:r>
    </w:p>
    <w:p w14:paraId="1C4477DF" w14:textId="40B53BA2"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 xml:space="preserve">Ensure the </w:t>
      </w:r>
      <w:r w:rsidR="00056BED">
        <w:rPr>
          <w:rFonts w:eastAsia="Arial" w:cs="Calibri"/>
          <w:szCs w:val="20"/>
        </w:rPr>
        <w:t>HR</w:t>
      </w:r>
      <w:r w:rsidRPr="00A75CB5">
        <w:rPr>
          <w:rFonts w:eastAsia="Arial" w:cs="Calibri"/>
          <w:szCs w:val="20"/>
        </w:rPr>
        <w:t xml:space="preserve"> Director is kept fully informed of the Group’s immigration compliance position, any emerging risks, and any interactions with UKVI, providing clear and timely reporting on all material immigration matters.</w:t>
      </w:r>
    </w:p>
    <w:p w14:paraId="09B76B2D" w14:textId="77777777" w:rsidR="00BC4339" w:rsidRPr="00A75CB5" w:rsidRDefault="00BC4339" w:rsidP="00BC4339">
      <w:pPr>
        <w:rPr>
          <w:rFonts w:cs="Calibri"/>
          <w:szCs w:val="20"/>
        </w:rPr>
      </w:pPr>
    </w:p>
    <w:p w14:paraId="5C97438F" w14:textId="77777777" w:rsidR="00BC4339" w:rsidRPr="00A75CB5" w:rsidRDefault="00BC4339" w:rsidP="00BC4339">
      <w:pPr>
        <w:spacing w:before="80" w:after="80"/>
        <w:rPr>
          <w:rFonts w:cs="Calibri"/>
          <w:szCs w:val="20"/>
        </w:rPr>
      </w:pPr>
      <w:r w:rsidRPr="00A75CB5">
        <w:rPr>
          <w:rFonts w:eastAsia="Arial" w:cs="Calibri"/>
          <w:b/>
          <w:bCs/>
          <w:szCs w:val="20"/>
        </w:rPr>
        <w:t>Stakeholder Engagement &amp; Corporate Contribution</w:t>
      </w:r>
    </w:p>
    <w:p w14:paraId="3207B737" w14:textId="117B200E"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Build strong working relationships with</w:t>
      </w:r>
      <w:r w:rsidR="00056BED">
        <w:rPr>
          <w:rFonts w:eastAsia="Arial" w:cs="Calibri"/>
          <w:szCs w:val="20"/>
        </w:rPr>
        <w:t>in the HR and Recruitment Teams</w:t>
      </w:r>
      <w:r w:rsidRPr="00A75CB5">
        <w:rPr>
          <w:rFonts w:eastAsia="Arial" w:cs="Calibri"/>
          <w:szCs w:val="20"/>
        </w:rPr>
        <w:t xml:space="preserve">, acting as the accessible and trusted immigration expert across the </w:t>
      </w:r>
      <w:r w:rsidR="00A72452">
        <w:rPr>
          <w:rFonts w:eastAsia="Arial" w:cs="Calibri"/>
          <w:szCs w:val="20"/>
        </w:rPr>
        <w:t>HR</w:t>
      </w:r>
      <w:r w:rsidRPr="00A75CB5">
        <w:rPr>
          <w:rFonts w:eastAsia="Arial" w:cs="Calibri"/>
          <w:szCs w:val="20"/>
        </w:rPr>
        <w:t xml:space="preserve"> Directorate.</w:t>
      </w:r>
    </w:p>
    <w:p w14:paraId="6D0C92E4"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Engage with Home Managers and operational teams as needed on immigration matters affecting their sponsored workers, providing clear, practical guidance that enables operational decisions to be made with confidence.</w:t>
      </w:r>
    </w:p>
    <w:p w14:paraId="166C33D6" w14:textId="77777777" w:rsidR="00BC4339" w:rsidRPr="00A75CB5" w:rsidRDefault="00BC4339" w:rsidP="00BB7389">
      <w:pPr>
        <w:pStyle w:val="ListParagraph"/>
        <w:numPr>
          <w:ilvl w:val="0"/>
          <w:numId w:val="2"/>
        </w:numPr>
        <w:spacing w:before="40" w:after="40"/>
        <w:contextualSpacing w:val="0"/>
        <w:rPr>
          <w:rFonts w:cs="Calibri"/>
          <w:szCs w:val="20"/>
        </w:rPr>
      </w:pPr>
      <w:r w:rsidRPr="00A75CB5">
        <w:rPr>
          <w:rFonts w:eastAsia="Arial" w:cs="Calibri"/>
          <w:szCs w:val="20"/>
        </w:rPr>
        <w:t>Uphold and model Healthcare Ireland’s core values of Quality, Innovation, Compassion, Integrity, and Respect in all aspects of the role, including in the care and sensitivity with which international recruits are supported through the visa and onboarding process.</w:t>
      </w:r>
    </w:p>
    <w:p w14:paraId="500D47B9" w14:textId="77777777" w:rsidR="00BC4339" w:rsidRPr="00A75CB5" w:rsidRDefault="00BC4339" w:rsidP="00BC4339">
      <w:pPr>
        <w:rPr>
          <w:rFonts w:cs="Calibri"/>
          <w:szCs w:val="20"/>
        </w:rPr>
      </w:pPr>
    </w:p>
    <w:p w14:paraId="4ED1CEE7" w14:textId="77777777" w:rsidR="00C42EDF" w:rsidRDefault="00C42EDF" w:rsidP="00267244">
      <w:pPr>
        <w:rPr>
          <w:rFonts w:cs="Calibri"/>
          <w:color w:val="002060" w:themeColor="background1"/>
          <w:szCs w:val="20"/>
        </w:rPr>
      </w:pPr>
    </w:p>
    <w:p w14:paraId="5C2BBA42" w14:textId="77777777" w:rsidR="000D7352" w:rsidRDefault="000D7352" w:rsidP="00267244">
      <w:pPr>
        <w:rPr>
          <w:rFonts w:cs="Calibri"/>
          <w:color w:val="002060" w:themeColor="background1"/>
          <w:szCs w:val="20"/>
        </w:rPr>
      </w:pPr>
    </w:p>
    <w:p w14:paraId="41E9D6A8" w14:textId="77777777" w:rsidR="000D7352" w:rsidRDefault="000D7352" w:rsidP="00267244">
      <w:pPr>
        <w:rPr>
          <w:rFonts w:cs="Calibri"/>
          <w:color w:val="002060" w:themeColor="background1"/>
          <w:szCs w:val="20"/>
        </w:rPr>
      </w:pPr>
    </w:p>
    <w:p w14:paraId="275774C4" w14:textId="77777777" w:rsidR="000D7352" w:rsidRPr="000B442C" w:rsidRDefault="000D7352" w:rsidP="00267244">
      <w:pPr>
        <w:rPr>
          <w:rFonts w:cs="Calibri"/>
          <w:color w:val="002060" w:themeColor="background1"/>
          <w:szCs w:val="20"/>
        </w:rPr>
      </w:pPr>
    </w:p>
    <w:p w14:paraId="51C73401" w14:textId="77777777" w:rsidR="007D4886" w:rsidRDefault="007D4886" w:rsidP="007D4886">
      <w:pPr>
        <w:rPr>
          <w:rFonts w:cs="Calibri"/>
          <w:b/>
          <w:bCs/>
          <w:szCs w:val="20"/>
        </w:rPr>
      </w:pPr>
      <w:r w:rsidRPr="007D4886">
        <w:rPr>
          <w:rFonts w:cs="Calibri"/>
          <w:b/>
          <w:bCs/>
          <w:szCs w:val="20"/>
        </w:rPr>
        <w:lastRenderedPageBreak/>
        <w:t>Person Specification</w:t>
      </w:r>
    </w:p>
    <w:p w14:paraId="454DFC5A" w14:textId="5FB75CAE" w:rsidR="00DB30E3" w:rsidRPr="00875E7D" w:rsidRDefault="00DB30E3" w:rsidP="007D4886">
      <w:pPr>
        <w:rPr>
          <w:rFonts w:cs="Calibri"/>
          <w:color w:val="auto"/>
          <w:szCs w:val="20"/>
        </w:rPr>
      </w:pPr>
      <w:r>
        <w:rPr>
          <w:rFonts w:cs="Calibri"/>
          <w:b/>
          <w:bCs/>
          <w:noProof/>
          <w:szCs w:val="20"/>
        </w:rPr>
        <mc:AlternateContent>
          <mc:Choice Requires="wps">
            <w:drawing>
              <wp:anchor distT="0" distB="0" distL="114300" distR="114300" simplePos="0" relativeHeight="251660288" behindDoc="0" locked="0" layoutInCell="1" allowOverlap="1" wp14:anchorId="186B5C33" wp14:editId="7668925A">
                <wp:simplePos x="0" y="0"/>
                <wp:positionH relativeFrom="column">
                  <wp:posOffset>0</wp:posOffset>
                </wp:positionH>
                <wp:positionV relativeFrom="paragraph">
                  <wp:posOffset>20320</wp:posOffset>
                </wp:positionV>
                <wp:extent cx="5772150" cy="0"/>
                <wp:effectExtent l="0" t="0" r="0" b="0"/>
                <wp:wrapNone/>
                <wp:docPr id="586576199" name="Straight Connector 1"/>
                <wp:cNvGraphicFramePr/>
                <a:graphic xmlns:a="http://schemas.openxmlformats.org/drawingml/2006/main">
                  <a:graphicData uri="http://schemas.microsoft.com/office/word/2010/wordprocessingShape">
                    <wps:wsp>
                      <wps:cNvCnPr/>
                      <wps:spPr>
                        <a:xfrm>
                          <a:off x="0" y="0"/>
                          <a:ext cx="57721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A65B36"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6pt" to="45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SXogEAAJkDAAAOAAAAZHJzL2Uyb0RvYy54bWysU8Fu2zAMvRfYPwi6L7YDtF2NODm02C5F&#10;W6zdB6gyFQuTREHSYufvSymJM2zFMAy7yJLI98j3RK82kzVsByFqdB1vFjVn4CT22m07/u3l88dP&#10;nMUkXC8MOuj4HiLfrD9crEbfwhIHND0ERiQutqPv+JCSb6sqygGsiAv04CioMFiR6Bi2VR/ESOzW&#10;VMu6vqpGDL0PKCFGur07BPm68CsFMj0qFSEx03HqLZU1lPU1r9V6JdptEH7Q8tiG+IcurNCOis5U&#10;dyIJ9iPo36islgEjqrSQaCtUSksoGkhNU/+i5nkQHooWMif62ab4/2jlw+7WPQWyYfSxjf4pZBWT&#10;CjZ/qT82FbP2s1kwJSbp8vL6etlckqfyFKvOQB9i+gJoWd503GiXdYhW7O5jomKUekrJ18axkabn&#10;pia+HD33UnZpb+CQ9hUU0z1VbwpdGRO4NYHtBD1w/70p8ExImRmitDEzqP4z6JibYVBG52+Bc3ap&#10;iC7NQKsdhveqpunUqjrkn1QftGbZr9jvy8sUO+j9i23HWc0D9vO5wM9/1PoNAAD//wMAUEsDBBQA&#10;BgAIAAAAIQB+MxKV2gAAAAQBAAAPAAAAZHJzL2Rvd25yZXYueG1sTI9BS8NAEIXvgv9hGcGL2I3V&#10;WBuzKSJ4iKBgWzxPs9Mkmp0N2W0a/72jFz1+vOG9b/LV5Do10hBazwauZgko4srblmsD283T5R2o&#10;EJEtdp7JwBcFWBWnJzlm1h/5jcZ1rJWUcMjQQBNjn2kdqoYchpnviSXb+8FhFBxqbQc8Srnr9DxJ&#10;brXDlmWhwZ4eG6o+1wdn4KN8L+v0YtHuX2/SZ9yM6QuPpTHnZ9PDPahIU/w7hh99UYdCnHb+wDao&#10;zoA8Eg1cz0FJuEyWwrtf1kWu/8sX3wAAAP//AwBQSwECLQAUAAYACAAAACEAtoM4kv4AAADhAQAA&#10;EwAAAAAAAAAAAAAAAAAAAAAAW0NvbnRlbnRfVHlwZXNdLnhtbFBLAQItABQABgAIAAAAIQA4/SH/&#10;1gAAAJQBAAALAAAAAAAAAAAAAAAAAC8BAABfcmVscy8ucmVsc1BLAQItABQABgAIAAAAIQCtKmSX&#10;ogEAAJkDAAAOAAAAAAAAAAAAAAAAAC4CAABkcnMvZTJvRG9jLnhtbFBLAQItABQABgAIAAAAIQB+&#10;MxKV2gAAAAQBAAAPAAAAAAAAAAAAAAAAAPwDAABkcnMvZG93bnJldi54bWxQSwUGAAAAAAQABADz&#10;AAAAAwUAAAAA&#10;" strokecolor="black [3200]" strokeweight="1.5pt">
                <v:stroke joinstyle="miter"/>
              </v:line>
            </w:pict>
          </mc:Fallback>
        </mc:AlternateContent>
      </w:r>
    </w:p>
    <w:p w14:paraId="5E0F12DB" w14:textId="77777777" w:rsidR="00C42EDF" w:rsidRPr="00A75CB5" w:rsidRDefault="00C42EDF" w:rsidP="00BB7389">
      <w:pPr>
        <w:pStyle w:val="ListParagraph"/>
        <w:numPr>
          <w:ilvl w:val="0"/>
          <w:numId w:val="2"/>
        </w:numPr>
        <w:spacing w:before="40" w:after="40"/>
        <w:contextualSpacing w:val="0"/>
        <w:rPr>
          <w:rFonts w:cs="Calibri"/>
          <w:szCs w:val="20"/>
        </w:rPr>
      </w:pPr>
      <w:r w:rsidRPr="00A75CB5">
        <w:rPr>
          <w:rFonts w:eastAsia="Arial" w:cs="Calibri"/>
          <w:szCs w:val="20"/>
        </w:rPr>
        <w:t>Demonstrable experience in an immigration compliance, sponsorship management, or right-to-work role, with a thorough working knowledge of the UK Skilled Worker visa route, UKVI sponsorship licence requirements, and the obligations of a licenced sponsor.</w:t>
      </w:r>
    </w:p>
    <w:p w14:paraId="03533FA1" w14:textId="77777777" w:rsidR="00C42EDF" w:rsidRPr="00A75CB5" w:rsidRDefault="00C42EDF" w:rsidP="00BB7389">
      <w:pPr>
        <w:pStyle w:val="ListParagraph"/>
        <w:numPr>
          <w:ilvl w:val="0"/>
          <w:numId w:val="2"/>
        </w:numPr>
        <w:spacing w:before="40" w:after="40"/>
        <w:contextualSpacing w:val="0"/>
        <w:rPr>
          <w:rFonts w:cs="Calibri"/>
          <w:szCs w:val="20"/>
        </w:rPr>
      </w:pPr>
      <w:r w:rsidRPr="00A75CB5">
        <w:rPr>
          <w:rFonts w:eastAsia="Arial" w:cs="Calibri"/>
          <w:szCs w:val="20"/>
        </w:rPr>
        <w:t>Experience of managing a UKVI sponsorship licence, including Certificate of Sponsorship assignment, sponsored worker monitoring, SMS management, and UKVI reporting duties.</w:t>
      </w:r>
    </w:p>
    <w:p w14:paraId="2BBCBA0A" w14:textId="77777777" w:rsidR="00C42EDF" w:rsidRPr="00A75CB5" w:rsidRDefault="00C42EDF" w:rsidP="00BB7389">
      <w:pPr>
        <w:pStyle w:val="ListParagraph"/>
        <w:numPr>
          <w:ilvl w:val="0"/>
          <w:numId w:val="2"/>
        </w:numPr>
        <w:spacing w:before="40" w:after="40"/>
        <w:contextualSpacing w:val="0"/>
        <w:rPr>
          <w:rFonts w:cs="Calibri"/>
          <w:szCs w:val="20"/>
        </w:rPr>
      </w:pPr>
      <w:r w:rsidRPr="00A75CB5">
        <w:rPr>
          <w:rFonts w:eastAsia="Arial" w:cs="Calibri"/>
          <w:szCs w:val="20"/>
        </w:rPr>
        <w:t>Sound knowledge of right-to-work legislation and Home Office guidance, with experience of applying right-to-work requirements correctly across a range of worker types including British nationals, EEA settled status holders, and visa holders.</w:t>
      </w:r>
    </w:p>
    <w:p w14:paraId="0239CE1B" w14:textId="77777777" w:rsidR="00C42EDF" w:rsidRPr="00A75CB5" w:rsidRDefault="00C42EDF" w:rsidP="00BB7389">
      <w:pPr>
        <w:pStyle w:val="ListParagraph"/>
        <w:numPr>
          <w:ilvl w:val="0"/>
          <w:numId w:val="2"/>
        </w:numPr>
        <w:spacing w:before="40" w:after="40"/>
        <w:contextualSpacing w:val="0"/>
        <w:rPr>
          <w:rFonts w:cs="Calibri"/>
          <w:szCs w:val="20"/>
        </w:rPr>
      </w:pPr>
      <w:r w:rsidRPr="00A75CB5">
        <w:rPr>
          <w:rFonts w:eastAsia="Arial" w:cs="Calibri"/>
          <w:szCs w:val="20"/>
        </w:rPr>
        <w:t>Experience of supporting international recruits through the visa application process, with an ability to communicate complex immigration requirements clearly, accurately, and compassionately to candidates from a wide range of backgrounds.</w:t>
      </w:r>
    </w:p>
    <w:p w14:paraId="7EA49C53" w14:textId="77777777" w:rsidR="00C42EDF" w:rsidRPr="00A75CB5" w:rsidRDefault="00C42EDF" w:rsidP="00BB7389">
      <w:pPr>
        <w:pStyle w:val="ListParagraph"/>
        <w:numPr>
          <w:ilvl w:val="0"/>
          <w:numId w:val="2"/>
        </w:numPr>
        <w:spacing w:before="40" w:after="40"/>
        <w:contextualSpacing w:val="0"/>
        <w:rPr>
          <w:rFonts w:cs="Calibri"/>
          <w:szCs w:val="20"/>
        </w:rPr>
      </w:pPr>
      <w:r w:rsidRPr="00A75CB5">
        <w:rPr>
          <w:rFonts w:eastAsia="Arial" w:cs="Calibri"/>
          <w:szCs w:val="20"/>
        </w:rPr>
        <w:t>Strong attention to detail and a rigorous, methodical approach to compliance administration, with the ability to maintain accurate records and identify and resolve compliance risks proactively.</w:t>
      </w:r>
    </w:p>
    <w:p w14:paraId="0C0E170A" w14:textId="77777777" w:rsidR="00C42EDF" w:rsidRPr="00A75CB5" w:rsidRDefault="00C42EDF" w:rsidP="00BB7389">
      <w:pPr>
        <w:pStyle w:val="ListParagraph"/>
        <w:numPr>
          <w:ilvl w:val="0"/>
          <w:numId w:val="2"/>
        </w:numPr>
        <w:spacing w:before="40" w:after="40"/>
        <w:contextualSpacing w:val="0"/>
        <w:rPr>
          <w:rFonts w:cs="Calibri"/>
          <w:szCs w:val="20"/>
        </w:rPr>
      </w:pPr>
      <w:r w:rsidRPr="00A75CB5">
        <w:rPr>
          <w:rFonts w:eastAsia="Arial" w:cs="Calibri"/>
          <w:szCs w:val="20"/>
        </w:rPr>
        <w:t>Up-to-date knowledge of UK immigration law and UKVI policy, with a commitment to staying current with legislative and guidance changes and assessing their implications for the organisation.</w:t>
      </w:r>
    </w:p>
    <w:p w14:paraId="1396A0FE" w14:textId="77777777" w:rsidR="00C42EDF" w:rsidRPr="00A75CB5" w:rsidRDefault="00C42EDF" w:rsidP="00BB7389">
      <w:pPr>
        <w:pStyle w:val="ListParagraph"/>
        <w:numPr>
          <w:ilvl w:val="0"/>
          <w:numId w:val="2"/>
        </w:numPr>
        <w:spacing w:before="40" w:after="40"/>
        <w:contextualSpacing w:val="0"/>
        <w:rPr>
          <w:rFonts w:cs="Calibri"/>
          <w:szCs w:val="20"/>
        </w:rPr>
      </w:pPr>
      <w:r w:rsidRPr="00A75CB5">
        <w:rPr>
          <w:rFonts w:eastAsia="Arial" w:cs="Calibri"/>
          <w:szCs w:val="20"/>
        </w:rPr>
        <w:t>Excellent organisational and prioritisation skills, with the ability to manage a varied and time-sensitive workload across multiple ongoing visa cases and compliance obligations simultaneously.</w:t>
      </w:r>
    </w:p>
    <w:p w14:paraId="6C278778" w14:textId="3B971F19" w:rsidR="00C438CA" w:rsidRPr="00C438CA" w:rsidRDefault="00C42EDF" w:rsidP="00C438CA">
      <w:pPr>
        <w:pStyle w:val="ListParagraph"/>
        <w:numPr>
          <w:ilvl w:val="0"/>
          <w:numId w:val="2"/>
        </w:numPr>
        <w:spacing w:before="40" w:after="40"/>
        <w:contextualSpacing w:val="0"/>
        <w:rPr>
          <w:rFonts w:cs="Calibri"/>
          <w:szCs w:val="20"/>
        </w:rPr>
      </w:pPr>
      <w:r w:rsidRPr="00A75CB5">
        <w:rPr>
          <w:rFonts w:eastAsia="Arial" w:cs="Calibri"/>
          <w:szCs w:val="20"/>
        </w:rPr>
        <w:t>Strong communication and interpersonal skills, with the ability to build trusted relationships with internal stakeholders and external advisers and to explain immigration requirements clearly to non-specialist audiences.</w:t>
      </w:r>
    </w:p>
    <w:p w14:paraId="600D440A" w14:textId="19578C29" w:rsidR="00C438CA" w:rsidRPr="00C438CA" w:rsidRDefault="00C438CA" w:rsidP="00C438CA">
      <w:pPr>
        <w:pStyle w:val="ListParagraph"/>
        <w:numPr>
          <w:ilvl w:val="0"/>
          <w:numId w:val="2"/>
        </w:numPr>
        <w:spacing w:before="40" w:after="40"/>
        <w:contextualSpacing w:val="0"/>
        <w:rPr>
          <w:rFonts w:cs="Calibri"/>
          <w:szCs w:val="20"/>
        </w:rPr>
      </w:pPr>
      <w:r>
        <w:rPr>
          <w:rFonts w:eastAsia="Arial" w:cs="Calibri"/>
          <w:szCs w:val="20"/>
        </w:rPr>
        <w:t xml:space="preserve">Full UK driving licence and access to a vehicle. </w:t>
      </w:r>
    </w:p>
    <w:p w14:paraId="7E29094D" w14:textId="77777777" w:rsidR="00C42EDF" w:rsidRPr="00A75CB5" w:rsidRDefault="00C42EDF" w:rsidP="00BB7389">
      <w:pPr>
        <w:pStyle w:val="ListParagraph"/>
        <w:numPr>
          <w:ilvl w:val="0"/>
          <w:numId w:val="2"/>
        </w:numPr>
        <w:spacing w:before="40" w:after="40"/>
        <w:contextualSpacing w:val="0"/>
        <w:rPr>
          <w:rFonts w:cs="Calibri"/>
          <w:szCs w:val="20"/>
        </w:rPr>
      </w:pPr>
      <w:r w:rsidRPr="00A75CB5">
        <w:rPr>
          <w:rFonts w:eastAsia="Arial" w:cs="Calibri"/>
          <w:szCs w:val="20"/>
        </w:rPr>
        <w:t>Experience of working with external immigration legal advisers and managing those relationships effectively is desirable.</w:t>
      </w:r>
    </w:p>
    <w:p w14:paraId="0756D53F" w14:textId="77777777" w:rsidR="00C42EDF" w:rsidRPr="00C42EDF" w:rsidRDefault="00C42EDF" w:rsidP="00BB7389">
      <w:pPr>
        <w:pStyle w:val="ListParagraph"/>
        <w:numPr>
          <w:ilvl w:val="0"/>
          <w:numId w:val="2"/>
        </w:numPr>
        <w:spacing w:before="40" w:after="40"/>
        <w:contextualSpacing w:val="0"/>
        <w:rPr>
          <w:rFonts w:cs="Calibri"/>
          <w:szCs w:val="20"/>
        </w:rPr>
      </w:pPr>
      <w:r w:rsidRPr="00A75CB5">
        <w:rPr>
          <w:rFonts w:eastAsia="Arial" w:cs="Calibri"/>
          <w:szCs w:val="20"/>
        </w:rPr>
        <w:t>A relevant qualification in immigration law, HR, or a related discipline — such as an OISC Level 1 or 2 accreditation, a CIPD qualification, or a law degree — is desirable; candidates who can demonstrate equivalent practical immigration compliance experience will also be considered.</w:t>
      </w:r>
    </w:p>
    <w:p w14:paraId="5221ED36" w14:textId="77777777" w:rsidR="00C42EDF" w:rsidRPr="00A75CB5" w:rsidRDefault="00C42EDF" w:rsidP="00C42EDF">
      <w:pPr>
        <w:pStyle w:val="ListParagraph"/>
        <w:spacing w:before="40" w:after="40"/>
        <w:contextualSpacing w:val="0"/>
        <w:rPr>
          <w:rFonts w:cs="Calibri"/>
          <w:szCs w:val="20"/>
        </w:rPr>
      </w:pPr>
    </w:p>
    <w:p w14:paraId="0E705429" w14:textId="77777777" w:rsidR="006B594C" w:rsidRDefault="006B594C" w:rsidP="000871E3">
      <w:pPr>
        <w:pStyle w:val="Subtitle"/>
        <w:numPr>
          <w:ilvl w:val="0"/>
          <w:numId w:val="0"/>
        </w:numPr>
        <w:pBdr>
          <w:bottom w:val="single" w:sz="12" w:space="1" w:color="auto"/>
        </w:pBdr>
        <w:ind w:left="360"/>
        <w:rPr>
          <w:rFonts w:cs="Calibri"/>
          <w:b/>
          <w:bCs/>
          <w:color w:val="auto"/>
          <w:sz w:val="20"/>
          <w:szCs w:val="20"/>
        </w:rPr>
      </w:pPr>
    </w:p>
    <w:p w14:paraId="572BE4F3" w14:textId="5A7D27E5" w:rsidR="00396341" w:rsidRPr="000871E3" w:rsidRDefault="00396341" w:rsidP="000871E3">
      <w:pPr>
        <w:pStyle w:val="Subtitle"/>
        <w:numPr>
          <w:ilvl w:val="0"/>
          <w:numId w:val="0"/>
        </w:numPr>
        <w:pBdr>
          <w:bottom w:val="single" w:sz="12" w:space="1" w:color="auto"/>
        </w:pBdr>
        <w:ind w:left="360"/>
        <w:rPr>
          <w:rFonts w:eastAsiaTheme="minorHAnsi" w:cs="Calibri"/>
          <w:color w:val="auto"/>
          <w:spacing w:val="0"/>
          <w:sz w:val="20"/>
          <w:szCs w:val="20"/>
        </w:rPr>
      </w:pPr>
      <w:r w:rsidRPr="000871E3">
        <w:rPr>
          <w:rFonts w:cs="Calibri"/>
          <w:b/>
          <w:bCs/>
          <w:color w:val="auto"/>
          <w:sz w:val="20"/>
          <w:szCs w:val="20"/>
        </w:rPr>
        <w:t>Additional information</w:t>
      </w:r>
    </w:p>
    <w:p w14:paraId="72B1EE9B" w14:textId="77777777" w:rsidR="00B877D1" w:rsidRDefault="00B877D1" w:rsidP="006C3DCD"/>
    <w:p w14:paraId="0487ED46" w14:textId="7A6441E5" w:rsidR="00D05840" w:rsidRDefault="00D05840" w:rsidP="00BB7389">
      <w:pPr>
        <w:pStyle w:val="ListParagraph"/>
        <w:numPr>
          <w:ilvl w:val="0"/>
          <w:numId w:val="1"/>
        </w:numPr>
        <w:spacing w:before="40" w:after="40"/>
        <w:contextualSpacing w:val="0"/>
        <w:rPr>
          <w:rFonts w:ascii="Arial" w:hAnsi="Arial"/>
          <w:color w:val="auto"/>
        </w:rPr>
      </w:pPr>
      <w:r>
        <w:t xml:space="preserve">Disclosure and Barring Service – you will be required to complete an Enhanced </w:t>
      </w:r>
      <w:r w:rsidR="00E80474">
        <w:t>AccessNI</w:t>
      </w:r>
      <w:r>
        <w:t xml:space="preserve"> disclosure. </w:t>
      </w:r>
    </w:p>
    <w:p w14:paraId="1A668607" w14:textId="4A80918E" w:rsidR="00770D32" w:rsidRPr="009D31BD" w:rsidRDefault="00770D32" w:rsidP="00C23A71">
      <w:pPr>
        <w:pStyle w:val="ListParagraph"/>
        <w:spacing w:before="40" w:after="40"/>
        <w:contextualSpacing w:val="0"/>
        <w:rPr>
          <w:rFonts w:cs="Calibri"/>
          <w:szCs w:val="20"/>
        </w:rPr>
      </w:pPr>
    </w:p>
    <w:sectPr w:rsidR="00770D32" w:rsidRPr="009D31BD" w:rsidSect="00C80BD9">
      <w:footerReference w:type="default" r:id="rId13"/>
      <w:pgSz w:w="11906" w:h="16838"/>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90FEB" w14:textId="77777777" w:rsidR="008B532F" w:rsidRDefault="008B532F" w:rsidP="00FA35EC">
      <w:r>
        <w:separator/>
      </w:r>
    </w:p>
  </w:endnote>
  <w:endnote w:type="continuationSeparator" w:id="0">
    <w:p w14:paraId="5492C3A3" w14:textId="77777777" w:rsidR="008B532F" w:rsidRDefault="008B532F" w:rsidP="00FA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68F7" w14:textId="40B13B5E" w:rsidR="00FA35EC" w:rsidRDefault="00FA35EC">
    <w:pPr>
      <w:pStyle w:val="Footer"/>
    </w:pPr>
    <w:r>
      <w:t xml:space="preserve">JD – </w:t>
    </w:r>
    <w:r w:rsidR="00094069">
      <w:t>IL0826</w:t>
    </w:r>
    <w:r w:rsidR="00C33F38">
      <w:t xml:space="preserve">                                                                                       </w:t>
    </w:r>
    <w:r>
      <w:tab/>
      <w:t>Version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EAF8C" w14:textId="77777777" w:rsidR="008B532F" w:rsidRDefault="008B532F" w:rsidP="00FA35EC">
      <w:r>
        <w:separator/>
      </w:r>
    </w:p>
  </w:footnote>
  <w:footnote w:type="continuationSeparator" w:id="0">
    <w:p w14:paraId="78376BF2" w14:textId="77777777" w:rsidR="008B532F" w:rsidRDefault="008B532F" w:rsidP="00FA35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81D"/>
    <w:multiLevelType w:val="hybridMultilevel"/>
    <w:tmpl w:val="13424BD8"/>
    <w:lvl w:ilvl="0" w:tplc="F586A7BE">
      <w:start w:val="1"/>
      <w:numFmt w:val="bullet"/>
      <w:lvlText w:val="•"/>
      <w:lvlJc w:val="left"/>
      <w:pPr>
        <w:ind w:left="720" w:hanging="360"/>
      </w:pPr>
    </w:lvl>
    <w:lvl w:ilvl="1" w:tplc="D6480B48">
      <w:numFmt w:val="decimal"/>
      <w:lvlText w:val=""/>
      <w:lvlJc w:val="left"/>
      <w:pPr>
        <w:ind w:left="0" w:firstLine="0"/>
      </w:pPr>
    </w:lvl>
    <w:lvl w:ilvl="2" w:tplc="1B120644">
      <w:numFmt w:val="decimal"/>
      <w:lvlText w:val=""/>
      <w:lvlJc w:val="left"/>
      <w:pPr>
        <w:ind w:left="0" w:firstLine="0"/>
      </w:pPr>
    </w:lvl>
    <w:lvl w:ilvl="3" w:tplc="D23CC5EE">
      <w:numFmt w:val="decimal"/>
      <w:lvlText w:val=""/>
      <w:lvlJc w:val="left"/>
      <w:pPr>
        <w:ind w:left="0" w:firstLine="0"/>
      </w:pPr>
    </w:lvl>
    <w:lvl w:ilvl="4" w:tplc="F7229AEA">
      <w:numFmt w:val="decimal"/>
      <w:lvlText w:val=""/>
      <w:lvlJc w:val="left"/>
      <w:pPr>
        <w:ind w:left="0" w:firstLine="0"/>
      </w:pPr>
    </w:lvl>
    <w:lvl w:ilvl="5" w:tplc="68F4D9EC">
      <w:numFmt w:val="decimal"/>
      <w:lvlText w:val=""/>
      <w:lvlJc w:val="left"/>
      <w:pPr>
        <w:ind w:left="0" w:firstLine="0"/>
      </w:pPr>
    </w:lvl>
    <w:lvl w:ilvl="6" w:tplc="C3121C16">
      <w:numFmt w:val="decimal"/>
      <w:lvlText w:val=""/>
      <w:lvlJc w:val="left"/>
      <w:pPr>
        <w:ind w:left="0" w:firstLine="0"/>
      </w:pPr>
    </w:lvl>
    <w:lvl w:ilvl="7" w:tplc="C428AEBE">
      <w:numFmt w:val="decimal"/>
      <w:lvlText w:val=""/>
      <w:lvlJc w:val="left"/>
      <w:pPr>
        <w:ind w:left="0" w:firstLine="0"/>
      </w:pPr>
    </w:lvl>
    <w:lvl w:ilvl="8" w:tplc="2DFEF6F4">
      <w:numFmt w:val="decimal"/>
      <w:lvlText w:val=""/>
      <w:lvlJc w:val="left"/>
      <w:pPr>
        <w:ind w:left="0" w:firstLine="0"/>
      </w:pPr>
    </w:lvl>
  </w:abstractNum>
  <w:abstractNum w:abstractNumId="1" w15:restartNumberingAfterBreak="0">
    <w:nsid w:val="1F3442E7"/>
    <w:multiLevelType w:val="multilevel"/>
    <w:tmpl w:val="CC6A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F4F7218"/>
    <w:multiLevelType w:val="hybridMultilevel"/>
    <w:tmpl w:val="B02035C2"/>
    <w:lvl w:ilvl="0" w:tplc="C74C5856">
      <w:start w:val="1"/>
      <w:numFmt w:val="bullet"/>
      <w:lvlText w:val="•"/>
      <w:lvlJc w:val="left"/>
      <w:pPr>
        <w:ind w:left="720" w:hanging="360"/>
      </w:pPr>
    </w:lvl>
    <w:lvl w:ilvl="1" w:tplc="39864AD4">
      <w:numFmt w:val="decimal"/>
      <w:lvlText w:val=""/>
      <w:lvlJc w:val="left"/>
    </w:lvl>
    <w:lvl w:ilvl="2" w:tplc="17183524">
      <w:numFmt w:val="decimal"/>
      <w:lvlText w:val=""/>
      <w:lvlJc w:val="left"/>
    </w:lvl>
    <w:lvl w:ilvl="3" w:tplc="3240076C">
      <w:numFmt w:val="decimal"/>
      <w:lvlText w:val=""/>
      <w:lvlJc w:val="left"/>
    </w:lvl>
    <w:lvl w:ilvl="4" w:tplc="F6EC58CE">
      <w:numFmt w:val="decimal"/>
      <w:lvlText w:val=""/>
      <w:lvlJc w:val="left"/>
    </w:lvl>
    <w:lvl w:ilvl="5" w:tplc="65BA1332">
      <w:numFmt w:val="decimal"/>
      <w:lvlText w:val=""/>
      <w:lvlJc w:val="left"/>
    </w:lvl>
    <w:lvl w:ilvl="6" w:tplc="BE24E0C8">
      <w:numFmt w:val="decimal"/>
      <w:lvlText w:val=""/>
      <w:lvlJc w:val="left"/>
    </w:lvl>
    <w:lvl w:ilvl="7" w:tplc="08A86B2E">
      <w:numFmt w:val="decimal"/>
      <w:lvlText w:val=""/>
      <w:lvlJc w:val="left"/>
    </w:lvl>
    <w:lvl w:ilvl="8" w:tplc="54E4340A">
      <w:numFmt w:val="decimal"/>
      <w:lvlText w:val=""/>
      <w:lvlJc w:val="left"/>
    </w:lvl>
  </w:abstractNum>
  <w:num w:numId="1" w16cid:durableId="1172379531">
    <w:abstractNumId w:val="0"/>
  </w:num>
  <w:num w:numId="2" w16cid:durableId="116995067">
    <w:abstractNumId w:val="2"/>
    <w:lvlOverride w:ilvl="0">
      <w:startOverride w:val="1"/>
    </w:lvlOverride>
  </w:num>
  <w:num w:numId="3" w16cid:durableId="17172594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851"/>
    <w:rsid w:val="00003CAA"/>
    <w:rsid w:val="00011131"/>
    <w:rsid w:val="00011913"/>
    <w:rsid w:val="000226A2"/>
    <w:rsid w:val="0003236A"/>
    <w:rsid w:val="00032B76"/>
    <w:rsid w:val="00056BED"/>
    <w:rsid w:val="000570E5"/>
    <w:rsid w:val="00065465"/>
    <w:rsid w:val="000654E1"/>
    <w:rsid w:val="00067516"/>
    <w:rsid w:val="0007364E"/>
    <w:rsid w:val="00080ECD"/>
    <w:rsid w:val="00083385"/>
    <w:rsid w:val="0008586F"/>
    <w:rsid w:val="00086BA8"/>
    <w:rsid w:val="000871E3"/>
    <w:rsid w:val="00092851"/>
    <w:rsid w:val="00094069"/>
    <w:rsid w:val="00096648"/>
    <w:rsid w:val="000A5072"/>
    <w:rsid w:val="000B442C"/>
    <w:rsid w:val="000D2759"/>
    <w:rsid w:val="000D7352"/>
    <w:rsid w:val="0010497F"/>
    <w:rsid w:val="00107429"/>
    <w:rsid w:val="001102C5"/>
    <w:rsid w:val="00114478"/>
    <w:rsid w:val="001159E0"/>
    <w:rsid w:val="00117D86"/>
    <w:rsid w:val="001368D6"/>
    <w:rsid w:val="0015033B"/>
    <w:rsid w:val="00153CFC"/>
    <w:rsid w:val="00155EEA"/>
    <w:rsid w:val="00171B94"/>
    <w:rsid w:val="00186995"/>
    <w:rsid w:val="001A784C"/>
    <w:rsid w:val="001B238C"/>
    <w:rsid w:val="001C4E7B"/>
    <w:rsid w:val="001C4F9C"/>
    <w:rsid w:val="001C5E5E"/>
    <w:rsid w:val="001D2B72"/>
    <w:rsid w:val="001D6B00"/>
    <w:rsid w:val="001E5A37"/>
    <w:rsid w:val="001F10CD"/>
    <w:rsid w:val="001F3420"/>
    <w:rsid w:val="001F78B1"/>
    <w:rsid w:val="001F7BCD"/>
    <w:rsid w:val="002076EC"/>
    <w:rsid w:val="00223410"/>
    <w:rsid w:val="00227751"/>
    <w:rsid w:val="002345B1"/>
    <w:rsid w:val="00235CB6"/>
    <w:rsid w:val="0024372F"/>
    <w:rsid w:val="0024488F"/>
    <w:rsid w:val="00247A0A"/>
    <w:rsid w:val="00262924"/>
    <w:rsid w:val="00265EAF"/>
    <w:rsid w:val="00267244"/>
    <w:rsid w:val="00267C5A"/>
    <w:rsid w:val="002715F1"/>
    <w:rsid w:val="00271DC7"/>
    <w:rsid w:val="002921BC"/>
    <w:rsid w:val="00294AAA"/>
    <w:rsid w:val="0029719F"/>
    <w:rsid w:val="002A0B98"/>
    <w:rsid w:val="002A3938"/>
    <w:rsid w:val="002A7223"/>
    <w:rsid w:val="002B34F6"/>
    <w:rsid w:val="002C5E3F"/>
    <w:rsid w:val="002C7B24"/>
    <w:rsid w:val="002D28A4"/>
    <w:rsid w:val="002D4EA4"/>
    <w:rsid w:val="002D6360"/>
    <w:rsid w:val="002E0541"/>
    <w:rsid w:val="00302061"/>
    <w:rsid w:val="00315127"/>
    <w:rsid w:val="00316A53"/>
    <w:rsid w:val="003209A3"/>
    <w:rsid w:val="00321762"/>
    <w:rsid w:val="00323CF2"/>
    <w:rsid w:val="003267D1"/>
    <w:rsid w:val="00336D28"/>
    <w:rsid w:val="00352DFE"/>
    <w:rsid w:val="00353C6C"/>
    <w:rsid w:val="0035443E"/>
    <w:rsid w:val="00355FDB"/>
    <w:rsid w:val="00396341"/>
    <w:rsid w:val="003A4565"/>
    <w:rsid w:val="003B3957"/>
    <w:rsid w:val="003C184A"/>
    <w:rsid w:val="003C6DAC"/>
    <w:rsid w:val="003D398F"/>
    <w:rsid w:val="003E362F"/>
    <w:rsid w:val="003E4F34"/>
    <w:rsid w:val="003E6BA3"/>
    <w:rsid w:val="003F51A9"/>
    <w:rsid w:val="00402450"/>
    <w:rsid w:val="00407717"/>
    <w:rsid w:val="00416FAE"/>
    <w:rsid w:val="00424C65"/>
    <w:rsid w:val="00425129"/>
    <w:rsid w:val="004275C4"/>
    <w:rsid w:val="00434AAB"/>
    <w:rsid w:val="004420D9"/>
    <w:rsid w:val="00443F3F"/>
    <w:rsid w:val="00444E52"/>
    <w:rsid w:val="00455CEC"/>
    <w:rsid w:val="00472FB3"/>
    <w:rsid w:val="004774BC"/>
    <w:rsid w:val="0048222D"/>
    <w:rsid w:val="00483831"/>
    <w:rsid w:val="004A0568"/>
    <w:rsid w:val="004A0695"/>
    <w:rsid w:val="004C28D5"/>
    <w:rsid w:val="004C6775"/>
    <w:rsid w:val="004C7ED8"/>
    <w:rsid w:val="004D3F33"/>
    <w:rsid w:val="004D629B"/>
    <w:rsid w:val="004E3A04"/>
    <w:rsid w:val="004F317C"/>
    <w:rsid w:val="004F4C35"/>
    <w:rsid w:val="005213C7"/>
    <w:rsid w:val="00524208"/>
    <w:rsid w:val="0053319E"/>
    <w:rsid w:val="00533324"/>
    <w:rsid w:val="005461DC"/>
    <w:rsid w:val="00556641"/>
    <w:rsid w:val="005615A5"/>
    <w:rsid w:val="005622C2"/>
    <w:rsid w:val="0057237B"/>
    <w:rsid w:val="00573CD3"/>
    <w:rsid w:val="0057463E"/>
    <w:rsid w:val="005773B2"/>
    <w:rsid w:val="0058230B"/>
    <w:rsid w:val="00587775"/>
    <w:rsid w:val="0059467D"/>
    <w:rsid w:val="005B69BF"/>
    <w:rsid w:val="005B6F52"/>
    <w:rsid w:val="005C542E"/>
    <w:rsid w:val="005D1BC0"/>
    <w:rsid w:val="005E5DC3"/>
    <w:rsid w:val="005F458F"/>
    <w:rsid w:val="005F5FBF"/>
    <w:rsid w:val="005F6591"/>
    <w:rsid w:val="006163A4"/>
    <w:rsid w:val="00616403"/>
    <w:rsid w:val="00622A55"/>
    <w:rsid w:val="006312BB"/>
    <w:rsid w:val="00632552"/>
    <w:rsid w:val="00636E26"/>
    <w:rsid w:val="00654565"/>
    <w:rsid w:val="00662C6D"/>
    <w:rsid w:val="00676747"/>
    <w:rsid w:val="00677833"/>
    <w:rsid w:val="00692D32"/>
    <w:rsid w:val="00694057"/>
    <w:rsid w:val="006B1F72"/>
    <w:rsid w:val="006B5580"/>
    <w:rsid w:val="006B594C"/>
    <w:rsid w:val="006B5D9C"/>
    <w:rsid w:val="006B611A"/>
    <w:rsid w:val="006C3DCD"/>
    <w:rsid w:val="006D6EC3"/>
    <w:rsid w:val="006E29DB"/>
    <w:rsid w:val="006E31B7"/>
    <w:rsid w:val="006F5554"/>
    <w:rsid w:val="00711398"/>
    <w:rsid w:val="00712212"/>
    <w:rsid w:val="00712C63"/>
    <w:rsid w:val="00740E32"/>
    <w:rsid w:val="007468B2"/>
    <w:rsid w:val="00751C3D"/>
    <w:rsid w:val="007560FC"/>
    <w:rsid w:val="00766A7A"/>
    <w:rsid w:val="00770D32"/>
    <w:rsid w:val="0077133A"/>
    <w:rsid w:val="00790F8E"/>
    <w:rsid w:val="007B70BE"/>
    <w:rsid w:val="007D2F56"/>
    <w:rsid w:val="007D4886"/>
    <w:rsid w:val="007F1F4A"/>
    <w:rsid w:val="007F2F1C"/>
    <w:rsid w:val="007F4CF6"/>
    <w:rsid w:val="0080293B"/>
    <w:rsid w:val="00804F3A"/>
    <w:rsid w:val="00807F22"/>
    <w:rsid w:val="00834F4F"/>
    <w:rsid w:val="00836164"/>
    <w:rsid w:val="008671CF"/>
    <w:rsid w:val="00872A3B"/>
    <w:rsid w:val="00875E7D"/>
    <w:rsid w:val="00877D6E"/>
    <w:rsid w:val="00880F7C"/>
    <w:rsid w:val="00881163"/>
    <w:rsid w:val="00881832"/>
    <w:rsid w:val="00893AF8"/>
    <w:rsid w:val="008967AA"/>
    <w:rsid w:val="008B100C"/>
    <w:rsid w:val="008B532F"/>
    <w:rsid w:val="008C2622"/>
    <w:rsid w:val="008C2D19"/>
    <w:rsid w:val="008C4200"/>
    <w:rsid w:val="008E1CDE"/>
    <w:rsid w:val="008E3B36"/>
    <w:rsid w:val="008F6DAA"/>
    <w:rsid w:val="009021DB"/>
    <w:rsid w:val="00910EE1"/>
    <w:rsid w:val="00912E73"/>
    <w:rsid w:val="009130E5"/>
    <w:rsid w:val="009139E4"/>
    <w:rsid w:val="00915587"/>
    <w:rsid w:val="00921A65"/>
    <w:rsid w:val="00926EB6"/>
    <w:rsid w:val="00943074"/>
    <w:rsid w:val="00943E36"/>
    <w:rsid w:val="00946420"/>
    <w:rsid w:val="009557C7"/>
    <w:rsid w:val="00964CDA"/>
    <w:rsid w:val="00966D16"/>
    <w:rsid w:val="00976EE0"/>
    <w:rsid w:val="00985DA4"/>
    <w:rsid w:val="009871B3"/>
    <w:rsid w:val="009A486D"/>
    <w:rsid w:val="009B38DF"/>
    <w:rsid w:val="009B3E8C"/>
    <w:rsid w:val="009D13A1"/>
    <w:rsid w:val="009D13B1"/>
    <w:rsid w:val="009D31BD"/>
    <w:rsid w:val="009E2563"/>
    <w:rsid w:val="009E483B"/>
    <w:rsid w:val="009F0A59"/>
    <w:rsid w:val="009F5394"/>
    <w:rsid w:val="00A0139D"/>
    <w:rsid w:val="00A06070"/>
    <w:rsid w:val="00A17C36"/>
    <w:rsid w:val="00A23474"/>
    <w:rsid w:val="00A31C53"/>
    <w:rsid w:val="00A3473B"/>
    <w:rsid w:val="00A444F3"/>
    <w:rsid w:val="00A46817"/>
    <w:rsid w:val="00A473B0"/>
    <w:rsid w:val="00A47731"/>
    <w:rsid w:val="00A51AB8"/>
    <w:rsid w:val="00A545DB"/>
    <w:rsid w:val="00A60364"/>
    <w:rsid w:val="00A72452"/>
    <w:rsid w:val="00A75A78"/>
    <w:rsid w:val="00A92DD7"/>
    <w:rsid w:val="00A95BBF"/>
    <w:rsid w:val="00A9685B"/>
    <w:rsid w:val="00A97468"/>
    <w:rsid w:val="00AA1994"/>
    <w:rsid w:val="00AC357F"/>
    <w:rsid w:val="00AC48B3"/>
    <w:rsid w:val="00AF49F4"/>
    <w:rsid w:val="00B21738"/>
    <w:rsid w:val="00B238DB"/>
    <w:rsid w:val="00B36554"/>
    <w:rsid w:val="00B40BF0"/>
    <w:rsid w:val="00B5067C"/>
    <w:rsid w:val="00B50791"/>
    <w:rsid w:val="00B567C8"/>
    <w:rsid w:val="00B56C42"/>
    <w:rsid w:val="00B6621D"/>
    <w:rsid w:val="00B71DF2"/>
    <w:rsid w:val="00B84F74"/>
    <w:rsid w:val="00B877D1"/>
    <w:rsid w:val="00BA3761"/>
    <w:rsid w:val="00BB7389"/>
    <w:rsid w:val="00BC4339"/>
    <w:rsid w:val="00BD3DF8"/>
    <w:rsid w:val="00BE44D5"/>
    <w:rsid w:val="00BE7F63"/>
    <w:rsid w:val="00BF0601"/>
    <w:rsid w:val="00BF6955"/>
    <w:rsid w:val="00C075C9"/>
    <w:rsid w:val="00C21FFF"/>
    <w:rsid w:val="00C23A71"/>
    <w:rsid w:val="00C32002"/>
    <w:rsid w:val="00C33F38"/>
    <w:rsid w:val="00C42EDF"/>
    <w:rsid w:val="00C437EE"/>
    <w:rsid w:val="00C438CA"/>
    <w:rsid w:val="00C50A40"/>
    <w:rsid w:val="00C52107"/>
    <w:rsid w:val="00C609C5"/>
    <w:rsid w:val="00C663BF"/>
    <w:rsid w:val="00C71E12"/>
    <w:rsid w:val="00C757B9"/>
    <w:rsid w:val="00C80BD9"/>
    <w:rsid w:val="00C876C1"/>
    <w:rsid w:val="00C90B09"/>
    <w:rsid w:val="00C95663"/>
    <w:rsid w:val="00CA1CB7"/>
    <w:rsid w:val="00CA756C"/>
    <w:rsid w:val="00CB138A"/>
    <w:rsid w:val="00CB4E03"/>
    <w:rsid w:val="00CC5D7D"/>
    <w:rsid w:val="00D009B3"/>
    <w:rsid w:val="00D01FA9"/>
    <w:rsid w:val="00D05840"/>
    <w:rsid w:val="00D11B26"/>
    <w:rsid w:val="00D11D7C"/>
    <w:rsid w:val="00D168E8"/>
    <w:rsid w:val="00D21E45"/>
    <w:rsid w:val="00D32132"/>
    <w:rsid w:val="00D33922"/>
    <w:rsid w:val="00D41599"/>
    <w:rsid w:val="00D50555"/>
    <w:rsid w:val="00D5271F"/>
    <w:rsid w:val="00D5293E"/>
    <w:rsid w:val="00D60D6E"/>
    <w:rsid w:val="00D6328A"/>
    <w:rsid w:val="00D92E65"/>
    <w:rsid w:val="00DA44FD"/>
    <w:rsid w:val="00DB30E3"/>
    <w:rsid w:val="00DB5BDA"/>
    <w:rsid w:val="00DB668D"/>
    <w:rsid w:val="00DD2860"/>
    <w:rsid w:val="00DD3F62"/>
    <w:rsid w:val="00DE379A"/>
    <w:rsid w:val="00DF008B"/>
    <w:rsid w:val="00DF1940"/>
    <w:rsid w:val="00E0542B"/>
    <w:rsid w:val="00E16BA6"/>
    <w:rsid w:val="00E275E5"/>
    <w:rsid w:val="00E46FD7"/>
    <w:rsid w:val="00E54E00"/>
    <w:rsid w:val="00E63557"/>
    <w:rsid w:val="00E674F1"/>
    <w:rsid w:val="00E80474"/>
    <w:rsid w:val="00E80FFF"/>
    <w:rsid w:val="00E818FA"/>
    <w:rsid w:val="00E81E55"/>
    <w:rsid w:val="00E87D83"/>
    <w:rsid w:val="00E9207B"/>
    <w:rsid w:val="00E92508"/>
    <w:rsid w:val="00E96EB4"/>
    <w:rsid w:val="00EA465F"/>
    <w:rsid w:val="00EB462C"/>
    <w:rsid w:val="00EC6BBF"/>
    <w:rsid w:val="00ED3E09"/>
    <w:rsid w:val="00ED6C17"/>
    <w:rsid w:val="00ED7D87"/>
    <w:rsid w:val="00EE0665"/>
    <w:rsid w:val="00EE4657"/>
    <w:rsid w:val="00EF0AB2"/>
    <w:rsid w:val="00EF2E19"/>
    <w:rsid w:val="00F01E1F"/>
    <w:rsid w:val="00F23653"/>
    <w:rsid w:val="00F30BDC"/>
    <w:rsid w:val="00F45DBA"/>
    <w:rsid w:val="00F46D48"/>
    <w:rsid w:val="00F51174"/>
    <w:rsid w:val="00F51925"/>
    <w:rsid w:val="00F559D0"/>
    <w:rsid w:val="00F5761B"/>
    <w:rsid w:val="00F7395B"/>
    <w:rsid w:val="00F76381"/>
    <w:rsid w:val="00F87225"/>
    <w:rsid w:val="00F9498E"/>
    <w:rsid w:val="00FA35EC"/>
    <w:rsid w:val="00FB3DE7"/>
    <w:rsid w:val="00FC2CAB"/>
    <w:rsid w:val="00FC3EB0"/>
    <w:rsid w:val="00FD20EF"/>
    <w:rsid w:val="00FE0B82"/>
    <w:rsid w:val="00FE4191"/>
    <w:rsid w:val="00FE6AF3"/>
    <w:rsid w:val="00FF1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BC6D"/>
  <w15:chartTrackingRefBased/>
  <w15:docId w15:val="{9C3732AD-F325-457F-84F7-0859E828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DF2"/>
    <w:pPr>
      <w:spacing w:after="0" w:line="240" w:lineRule="auto"/>
    </w:pPr>
    <w:rPr>
      <w:rFonts w:ascii="Calibri" w:hAnsi="Calibri"/>
      <w:color w:val="000000" w:themeColor="text1"/>
      <w:sz w:val="20"/>
    </w:rPr>
  </w:style>
  <w:style w:type="paragraph" w:styleId="Heading1">
    <w:name w:val="heading 1"/>
    <w:basedOn w:val="Normal"/>
    <w:next w:val="Normal"/>
    <w:link w:val="Heading1Char"/>
    <w:uiPriority w:val="9"/>
    <w:qFormat/>
    <w:rsid w:val="00092851"/>
    <w:pPr>
      <w:keepNext/>
      <w:keepLines/>
      <w:spacing w:before="360" w:after="80"/>
      <w:outlineLvl w:val="0"/>
    </w:pPr>
    <w:rPr>
      <w:rFonts w:asciiTheme="majorHAnsi" w:eastAsiaTheme="majorEastAsia" w:hAnsiTheme="majorHAnsi" w:cstheme="majorBidi"/>
      <w:color w:val="001747" w:themeColor="accent1" w:themeShade="BF"/>
      <w:sz w:val="40"/>
      <w:szCs w:val="40"/>
    </w:rPr>
  </w:style>
  <w:style w:type="paragraph" w:styleId="Heading2">
    <w:name w:val="heading 2"/>
    <w:basedOn w:val="Normal"/>
    <w:next w:val="Normal"/>
    <w:link w:val="Heading2Char"/>
    <w:uiPriority w:val="9"/>
    <w:unhideWhenUsed/>
    <w:qFormat/>
    <w:rsid w:val="00092851"/>
    <w:pPr>
      <w:keepNext/>
      <w:keepLines/>
      <w:spacing w:before="160" w:after="80"/>
      <w:outlineLvl w:val="1"/>
    </w:pPr>
    <w:rPr>
      <w:rFonts w:asciiTheme="majorHAnsi" w:eastAsiaTheme="majorEastAsia" w:hAnsiTheme="majorHAnsi" w:cstheme="majorBidi"/>
      <w:color w:val="001747" w:themeColor="accent1" w:themeShade="BF"/>
      <w:sz w:val="32"/>
      <w:szCs w:val="32"/>
    </w:rPr>
  </w:style>
  <w:style w:type="paragraph" w:styleId="Heading3">
    <w:name w:val="heading 3"/>
    <w:basedOn w:val="Normal"/>
    <w:next w:val="Normal"/>
    <w:link w:val="Heading3Char"/>
    <w:uiPriority w:val="9"/>
    <w:unhideWhenUsed/>
    <w:qFormat/>
    <w:rsid w:val="00223410"/>
    <w:pPr>
      <w:keepNext/>
      <w:keepLines/>
      <w:outlineLvl w:val="2"/>
    </w:pPr>
    <w:rPr>
      <w:rFonts w:eastAsiaTheme="majorEastAsia" w:cstheme="majorBidi"/>
      <w:color w:val="001747" w:themeColor="accent1" w:themeShade="BF"/>
      <w:sz w:val="24"/>
      <w:szCs w:val="28"/>
    </w:rPr>
  </w:style>
  <w:style w:type="paragraph" w:styleId="Heading4">
    <w:name w:val="heading 4"/>
    <w:basedOn w:val="Normal"/>
    <w:next w:val="Normal"/>
    <w:link w:val="Heading4Char"/>
    <w:uiPriority w:val="9"/>
    <w:unhideWhenUsed/>
    <w:qFormat/>
    <w:rsid w:val="00092851"/>
    <w:pPr>
      <w:keepNext/>
      <w:keepLines/>
      <w:spacing w:before="80" w:after="40"/>
      <w:outlineLvl w:val="3"/>
    </w:pPr>
    <w:rPr>
      <w:rFonts w:eastAsiaTheme="majorEastAsia" w:cstheme="majorBidi"/>
      <w:i/>
      <w:iCs/>
      <w:color w:val="001747" w:themeColor="accent1" w:themeShade="BF"/>
    </w:rPr>
  </w:style>
  <w:style w:type="paragraph" w:styleId="Heading5">
    <w:name w:val="heading 5"/>
    <w:basedOn w:val="Normal"/>
    <w:next w:val="Normal"/>
    <w:link w:val="Heading5Char"/>
    <w:uiPriority w:val="9"/>
    <w:semiHidden/>
    <w:unhideWhenUsed/>
    <w:qFormat/>
    <w:rsid w:val="00092851"/>
    <w:pPr>
      <w:keepNext/>
      <w:keepLines/>
      <w:spacing w:before="80" w:after="40"/>
      <w:outlineLvl w:val="4"/>
    </w:pPr>
    <w:rPr>
      <w:rFonts w:eastAsiaTheme="majorEastAsia" w:cstheme="majorBidi"/>
      <w:color w:val="001747" w:themeColor="accent1" w:themeShade="BF"/>
    </w:rPr>
  </w:style>
  <w:style w:type="paragraph" w:styleId="Heading6">
    <w:name w:val="heading 6"/>
    <w:basedOn w:val="Normal"/>
    <w:next w:val="Normal"/>
    <w:link w:val="Heading6Char"/>
    <w:uiPriority w:val="9"/>
    <w:semiHidden/>
    <w:unhideWhenUsed/>
    <w:qFormat/>
    <w:rsid w:val="000928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8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8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8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851"/>
    <w:rPr>
      <w:rFonts w:asciiTheme="majorHAnsi" w:eastAsiaTheme="majorEastAsia" w:hAnsiTheme="majorHAnsi" w:cstheme="majorBidi"/>
      <w:color w:val="001747" w:themeColor="accent1" w:themeShade="BF"/>
      <w:sz w:val="40"/>
      <w:szCs w:val="40"/>
    </w:rPr>
  </w:style>
  <w:style w:type="character" w:customStyle="1" w:styleId="Heading2Char">
    <w:name w:val="Heading 2 Char"/>
    <w:basedOn w:val="DefaultParagraphFont"/>
    <w:link w:val="Heading2"/>
    <w:uiPriority w:val="9"/>
    <w:rsid w:val="00092851"/>
    <w:rPr>
      <w:rFonts w:asciiTheme="majorHAnsi" w:eastAsiaTheme="majorEastAsia" w:hAnsiTheme="majorHAnsi" w:cstheme="majorBidi"/>
      <w:color w:val="001747" w:themeColor="accent1" w:themeShade="BF"/>
      <w:sz w:val="32"/>
      <w:szCs w:val="32"/>
    </w:rPr>
  </w:style>
  <w:style w:type="character" w:customStyle="1" w:styleId="Heading3Char">
    <w:name w:val="Heading 3 Char"/>
    <w:basedOn w:val="DefaultParagraphFont"/>
    <w:link w:val="Heading3"/>
    <w:uiPriority w:val="9"/>
    <w:rsid w:val="00223410"/>
    <w:rPr>
      <w:rFonts w:ascii="Calibri" w:eastAsiaTheme="majorEastAsia" w:hAnsi="Calibri" w:cstheme="majorBidi"/>
      <w:color w:val="001747" w:themeColor="accent1" w:themeShade="BF"/>
      <w:sz w:val="24"/>
      <w:szCs w:val="28"/>
    </w:rPr>
  </w:style>
  <w:style w:type="character" w:customStyle="1" w:styleId="Heading4Char">
    <w:name w:val="Heading 4 Char"/>
    <w:basedOn w:val="DefaultParagraphFont"/>
    <w:link w:val="Heading4"/>
    <w:uiPriority w:val="9"/>
    <w:rsid w:val="00092851"/>
    <w:rPr>
      <w:rFonts w:eastAsiaTheme="majorEastAsia" w:cstheme="majorBidi"/>
      <w:i/>
      <w:iCs/>
      <w:color w:val="001747" w:themeColor="accent1" w:themeShade="BF"/>
    </w:rPr>
  </w:style>
  <w:style w:type="character" w:customStyle="1" w:styleId="Heading5Char">
    <w:name w:val="Heading 5 Char"/>
    <w:basedOn w:val="DefaultParagraphFont"/>
    <w:link w:val="Heading5"/>
    <w:uiPriority w:val="9"/>
    <w:semiHidden/>
    <w:rsid w:val="00092851"/>
    <w:rPr>
      <w:rFonts w:eastAsiaTheme="majorEastAsia" w:cstheme="majorBidi"/>
      <w:color w:val="001747" w:themeColor="accent1" w:themeShade="BF"/>
    </w:rPr>
  </w:style>
  <w:style w:type="character" w:customStyle="1" w:styleId="Heading6Char">
    <w:name w:val="Heading 6 Char"/>
    <w:basedOn w:val="DefaultParagraphFont"/>
    <w:link w:val="Heading6"/>
    <w:uiPriority w:val="9"/>
    <w:semiHidden/>
    <w:rsid w:val="00092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851"/>
    <w:rPr>
      <w:rFonts w:eastAsiaTheme="majorEastAsia" w:cstheme="majorBidi"/>
      <w:color w:val="272727" w:themeColor="text1" w:themeTint="D8"/>
    </w:rPr>
  </w:style>
  <w:style w:type="paragraph" w:styleId="Title">
    <w:name w:val="Title"/>
    <w:basedOn w:val="Normal"/>
    <w:next w:val="Normal"/>
    <w:link w:val="TitleChar"/>
    <w:uiPriority w:val="10"/>
    <w:qFormat/>
    <w:rsid w:val="000928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851"/>
    <w:pPr>
      <w:spacing w:before="160"/>
      <w:jc w:val="center"/>
    </w:pPr>
    <w:rPr>
      <w:i/>
      <w:iCs/>
      <w:color w:val="404040" w:themeColor="text1" w:themeTint="BF"/>
    </w:rPr>
  </w:style>
  <w:style w:type="character" w:customStyle="1" w:styleId="QuoteChar">
    <w:name w:val="Quote Char"/>
    <w:basedOn w:val="DefaultParagraphFont"/>
    <w:link w:val="Quote"/>
    <w:uiPriority w:val="29"/>
    <w:rsid w:val="00092851"/>
    <w:rPr>
      <w:i/>
      <w:iCs/>
      <w:color w:val="404040" w:themeColor="text1" w:themeTint="BF"/>
    </w:rPr>
  </w:style>
  <w:style w:type="paragraph" w:styleId="ListParagraph">
    <w:name w:val="List Paragraph"/>
    <w:basedOn w:val="Normal"/>
    <w:qFormat/>
    <w:rsid w:val="00092851"/>
    <w:pPr>
      <w:ind w:left="720"/>
      <w:contextualSpacing/>
    </w:pPr>
  </w:style>
  <w:style w:type="character" w:styleId="IntenseEmphasis">
    <w:name w:val="Intense Emphasis"/>
    <w:basedOn w:val="DefaultParagraphFont"/>
    <w:uiPriority w:val="21"/>
    <w:qFormat/>
    <w:rsid w:val="00092851"/>
    <w:rPr>
      <w:i/>
      <w:iCs/>
      <w:color w:val="001747" w:themeColor="accent1" w:themeShade="BF"/>
    </w:rPr>
  </w:style>
  <w:style w:type="paragraph" w:styleId="IntenseQuote">
    <w:name w:val="Intense Quote"/>
    <w:basedOn w:val="Normal"/>
    <w:next w:val="Normal"/>
    <w:link w:val="IntenseQuoteChar"/>
    <w:uiPriority w:val="30"/>
    <w:qFormat/>
    <w:rsid w:val="00092851"/>
    <w:pPr>
      <w:pBdr>
        <w:top w:val="single" w:sz="4" w:space="10" w:color="001747" w:themeColor="accent1" w:themeShade="BF"/>
        <w:bottom w:val="single" w:sz="4" w:space="10" w:color="001747" w:themeColor="accent1" w:themeShade="BF"/>
      </w:pBdr>
      <w:spacing w:before="360" w:after="360"/>
      <w:ind w:left="864" w:right="864"/>
      <w:jc w:val="center"/>
    </w:pPr>
    <w:rPr>
      <w:i/>
      <w:iCs/>
      <w:color w:val="001747" w:themeColor="accent1" w:themeShade="BF"/>
    </w:rPr>
  </w:style>
  <w:style w:type="character" w:customStyle="1" w:styleId="IntenseQuoteChar">
    <w:name w:val="Intense Quote Char"/>
    <w:basedOn w:val="DefaultParagraphFont"/>
    <w:link w:val="IntenseQuote"/>
    <w:uiPriority w:val="30"/>
    <w:rsid w:val="00092851"/>
    <w:rPr>
      <w:i/>
      <w:iCs/>
      <w:color w:val="001747" w:themeColor="accent1" w:themeShade="BF"/>
    </w:rPr>
  </w:style>
  <w:style w:type="character" w:styleId="IntenseReference">
    <w:name w:val="Intense Reference"/>
    <w:basedOn w:val="DefaultParagraphFont"/>
    <w:uiPriority w:val="32"/>
    <w:qFormat/>
    <w:rsid w:val="00092851"/>
    <w:rPr>
      <w:b/>
      <w:bCs/>
      <w:smallCaps/>
      <w:color w:val="001747" w:themeColor="accent1" w:themeShade="BF"/>
      <w:spacing w:val="5"/>
    </w:rPr>
  </w:style>
  <w:style w:type="table" w:styleId="TableGrid">
    <w:name w:val="Table Grid"/>
    <w:basedOn w:val="TableNormal"/>
    <w:uiPriority w:val="39"/>
    <w:rsid w:val="00092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D2F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88116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FA35EC"/>
    <w:pPr>
      <w:tabs>
        <w:tab w:val="center" w:pos="4513"/>
        <w:tab w:val="right" w:pos="9026"/>
      </w:tabs>
    </w:pPr>
  </w:style>
  <w:style w:type="character" w:customStyle="1" w:styleId="HeaderChar">
    <w:name w:val="Header Char"/>
    <w:basedOn w:val="DefaultParagraphFont"/>
    <w:link w:val="Header"/>
    <w:uiPriority w:val="99"/>
    <w:rsid w:val="00FA35EC"/>
    <w:rPr>
      <w:rFonts w:ascii="Calibri" w:hAnsi="Calibri"/>
      <w:color w:val="000000" w:themeColor="text1"/>
      <w:sz w:val="20"/>
    </w:rPr>
  </w:style>
  <w:style w:type="paragraph" w:styleId="Footer">
    <w:name w:val="footer"/>
    <w:basedOn w:val="Normal"/>
    <w:link w:val="FooterChar"/>
    <w:uiPriority w:val="99"/>
    <w:unhideWhenUsed/>
    <w:rsid w:val="00FA35EC"/>
    <w:pPr>
      <w:tabs>
        <w:tab w:val="center" w:pos="4513"/>
        <w:tab w:val="right" w:pos="9026"/>
      </w:tabs>
    </w:pPr>
  </w:style>
  <w:style w:type="character" w:customStyle="1" w:styleId="FooterChar">
    <w:name w:val="Footer Char"/>
    <w:basedOn w:val="DefaultParagraphFont"/>
    <w:link w:val="Footer"/>
    <w:uiPriority w:val="99"/>
    <w:rsid w:val="00FA35EC"/>
    <w:rPr>
      <w:rFonts w:ascii="Calibri" w:hAnsi="Calibri"/>
      <w:color w:val="000000" w:themeColor="text1"/>
      <w:sz w:val="20"/>
    </w:rPr>
  </w:style>
  <w:style w:type="paragraph" w:styleId="Revision">
    <w:name w:val="Revision"/>
    <w:hidden/>
    <w:uiPriority w:val="99"/>
    <w:semiHidden/>
    <w:rsid w:val="00455CEC"/>
    <w:pPr>
      <w:spacing w:after="0" w:line="240" w:lineRule="auto"/>
    </w:pPr>
    <w:rPr>
      <w:rFonts w:ascii="Calibri" w:hAnsi="Calibri"/>
      <w:color w:val="000000" w:themeColor="text1"/>
      <w:sz w:val="20"/>
    </w:rPr>
  </w:style>
  <w:style w:type="character" w:styleId="CommentReference">
    <w:name w:val="annotation reference"/>
    <w:basedOn w:val="DefaultParagraphFont"/>
    <w:uiPriority w:val="99"/>
    <w:semiHidden/>
    <w:unhideWhenUsed/>
    <w:rsid w:val="00455CEC"/>
    <w:rPr>
      <w:sz w:val="16"/>
      <w:szCs w:val="16"/>
    </w:rPr>
  </w:style>
  <w:style w:type="paragraph" w:styleId="CommentText">
    <w:name w:val="annotation text"/>
    <w:basedOn w:val="Normal"/>
    <w:link w:val="CommentTextChar"/>
    <w:uiPriority w:val="99"/>
    <w:unhideWhenUsed/>
    <w:rsid w:val="00455CEC"/>
    <w:rPr>
      <w:szCs w:val="20"/>
    </w:rPr>
  </w:style>
  <w:style w:type="character" w:customStyle="1" w:styleId="CommentTextChar">
    <w:name w:val="Comment Text Char"/>
    <w:basedOn w:val="DefaultParagraphFont"/>
    <w:link w:val="CommentText"/>
    <w:uiPriority w:val="99"/>
    <w:rsid w:val="00455CEC"/>
    <w:rPr>
      <w:rFonts w:ascii="Calibri" w:hAnsi="Calibr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455CEC"/>
    <w:rPr>
      <w:b/>
      <w:bCs/>
    </w:rPr>
  </w:style>
  <w:style w:type="character" w:customStyle="1" w:styleId="CommentSubjectChar">
    <w:name w:val="Comment Subject Char"/>
    <w:basedOn w:val="CommentTextChar"/>
    <w:link w:val="CommentSubject"/>
    <w:uiPriority w:val="99"/>
    <w:semiHidden/>
    <w:rsid w:val="00455CEC"/>
    <w:rPr>
      <w:rFonts w:ascii="Calibri" w:hAnsi="Calibri"/>
      <w:b/>
      <w:bCs/>
      <w:color w:val="000000" w:themeColor="text1"/>
      <w:sz w:val="20"/>
      <w:szCs w:val="20"/>
    </w:rPr>
  </w:style>
  <w:style w:type="paragraph" w:styleId="NoSpacing">
    <w:name w:val="No Spacing"/>
    <w:uiPriority w:val="1"/>
    <w:qFormat/>
    <w:rsid w:val="009021DB"/>
    <w:pPr>
      <w:spacing w:after="0" w:line="240" w:lineRule="auto"/>
    </w:pPr>
    <w:rPr>
      <w:color w:val="002060" w:themeColor="text2"/>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8703">
      <w:bodyDiv w:val="1"/>
      <w:marLeft w:val="0"/>
      <w:marRight w:val="0"/>
      <w:marTop w:val="0"/>
      <w:marBottom w:val="0"/>
      <w:divBdr>
        <w:top w:val="none" w:sz="0" w:space="0" w:color="auto"/>
        <w:left w:val="none" w:sz="0" w:space="0" w:color="auto"/>
        <w:bottom w:val="none" w:sz="0" w:space="0" w:color="auto"/>
        <w:right w:val="none" w:sz="0" w:space="0" w:color="auto"/>
      </w:divBdr>
    </w:div>
    <w:div w:id="479731208">
      <w:bodyDiv w:val="1"/>
      <w:marLeft w:val="0"/>
      <w:marRight w:val="0"/>
      <w:marTop w:val="0"/>
      <w:marBottom w:val="0"/>
      <w:divBdr>
        <w:top w:val="none" w:sz="0" w:space="0" w:color="auto"/>
        <w:left w:val="none" w:sz="0" w:space="0" w:color="auto"/>
        <w:bottom w:val="none" w:sz="0" w:space="0" w:color="auto"/>
        <w:right w:val="none" w:sz="0" w:space="0" w:color="auto"/>
      </w:divBdr>
    </w:div>
    <w:div w:id="651369992">
      <w:bodyDiv w:val="1"/>
      <w:marLeft w:val="0"/>
      <w:marRight w:val="0"/>
      <w:marTop w:val="0"/>
      <w:marBottom w:val="0"/>
      <w:divBdr>
        <w:top w:val="none" w:sz="0" w:space="0" w:color="auto"/>
        <w:left w:val="none" w:sz="0" w:space="0" w:color="auto"/>
        <w:bottom w:val="none" w:sz="0" w:space="0" w:color="auto"/>
        <w:right w:val="none" w:sz="0" w:space="0" w:color="auto"/>
      </w:divBdr>
    </w:div>
    <w:div w:id="859008378">
      <w:bodyDiv w:val="1"/>
      <w:marLeft w:val="0"/>
      <w:marRight w:val="0"/>
      <w:marTop w:val="0"/>
      <w:marBottom w:val="0"/>
      <w:divBdr>
        <w:top w:val="none" w:sz="0" w:space="0" w:color="auto"/>
        <w:left w:val="none" w:sz="0" w:space="0" w:color="auto"/>
        <w:bottom w:val="none" w:sz="0" w:space="0" w:color="auto"/>
        <w:right w:val="none" w:sz="0" w:space="0" w:color="auto"/>
      </w:divBdr>
    </w:div>
    <w:div w:id="928659779">
      <w:bodyDiv w:val="1"/>
      <w:marLeft w:val="0"/>
      <w:marRight w:val="0"/>
      <w:marTop w:val="0"/>
      <w:marBottom w:val="0"/>
      <w:divBdr>
        <w:top w:val="none" w:sz="0" w:space="0" w:color="auto"/>
        <w:left w:val="none" w:sz="0" w:space="0" w:color="auto"/>
        <w:bottom w:val="none" w:sz="0" w:space="0" w:color="auto"/>
        <w:right w:val="none" w:sz="0" w:space="0" w:color="auto"/>
      </w:divBdr>
    </w:div>
    <w:div w:id="951786556">
      <w:bodyDiv w:val="1"/>
      <w:marLeft w:val="0"/>
      <w:marRight w:val="0"/>
      <w:marTop w:val="0"/>
      <w:marBottom w:val="0"/>
      <w:divBdr>
        <w:top w:val="none" w:sz="0" w:space="0" w:color="auto"/>
        <w:left w:val="none" w:sz="0" w:space="0" w:color="auto"/>
        <w:bottom w:val="none" w:sz="0" w:space="0" w:color="auto"/>
        <w:right w:val="none" w:sz="0" w:space="0" w:color="auto"/>
      </w:divBdr>
    </w:div>
    <w:div w:id="1128813825">
      <w:bodyDiv w:val="1"/>
      <w:marLeft w:val="0"/>
      <w:marRight w:val="0"/>
      <w:marTop w:val="0"/>
      <w:marBottom w:val="0"/>
      <w:divBdr>
        <w:top w:val="none" w:sz="0" w:space="0" w:color="auto"/>
        <w:left w:val="none" w:sz="0" w:space="0" w:color="auto"/>
        <w:bottom w:val="none" w:sz="0" w:space="0" w:color="auto"/>
        <w:right w:val="none" w:sz="0" w:space="0" w:color="auto"/>
      </w:divBdr>
      <w:divsChild>
        <w:div w:id="1479491613">
          <w:marLeft w:val="0"/>
          <w:marRight w:val="0"/>
          <w:marTop w:val="0"/>
          <w:marBottom w:val="0"/>
          <w:divBdr>
            <w:top w:val="none" w:sz="0" w:space="0" w:color="auto"/>
            <w:left w:val="none" w:sz="0" w:space="0" w:color="auto"/>
            <w:bottom w:val="none" w:sz="0" w:space="0" w:color="auto"/>
            <w:right w:val="none" w:sz="0" w:space="0" w:color="auto"/>
          </w:divBdr>
        </w:div>
      </w:divsChild>
    </w:div>
    <w:div w:id="1288974780">
      <w:bodyDiv w:val="1"/>
      <w:marLeft w:val="0"/>
      <w:marRight w:val="0"/>
      <w:marTop w:val="0"/>
      <w:marBottom w:val="0"/>
      <w:divBdr>
        <w:top w:val="none" w:sz="0" w:space="0" w:color="auto"/>
        <w:left w:val="none" w:sz="0" w:space="0" w:color="auto"/>
        <w:bottom w:val="none" w:sz="0" w:space="0" w:color="auto"/>
        <w:right w:val="none" w:sz="0" w:space="0" w:color="auto"/>
      </w:divBdr>
    </w:div>
    <w:div w:id="1308969879">
      <w:bodyDiv w:val="1"/>
      <w:marLeft w:val="0"/>
      <w:marRight w:val="0"/>
      <w:marTop w:val="0"/>
      <w:marBottom w:val="0"/>
      <w:divBdr>
        <w:top w:val="none" w:sz="0" w:space="0" w:color="auto"/>
        <w:left w:val="none" w:sz="0" w:space="0" w:color="auto"/>
        <w:bottom w:val="none" w:sz="0" w:space="0" w:color="auto"/>
        <w:right w:val="none" w:sz="0" w:space="0" w:color="auto"/>
      </w:divBdr>
    </w:div>
    <w:div w:id="1761563727">
      <w:bodyDiv w:val="1"/>
      <w:marLeft w:val="0"/>
      <w:marRight w:val="0"/>
      <w:marTop w:val="0"/>
      <w:marBottom w:val="0"/>
      <w:divBdr>
        <w:top w:val="none" w:sz="0" w:space="0" w:color="auto"/>
        <w:left w:val="none" w:sz="0" w:space="0" w:color="auto"/>
        <w:bottom w:val="none" w:sz="0" w:space="0" w:color="auto"/>
        <w:right w:val="none" w:sz="0" w:space="0" w:color="auto"/>
      </w:divBdr>
    </w:div>
    <w:div w:id="1890993791">
      <w:bodyDiv w:val="1"/>
      <w:marLeft w:val="0"/>
      <w:marRight w:val="0"/>
      <w:marTop w:val="0"/>
      <w:marBottom w:val="0"/>
      <w:divBdr>
        <w:top w:val="none" w:sz="0" w:space="0" w:color="auto"/>
        <w:left w:val="none" w:sz="0" w:space="0" w:color="auto"/>
        <w:bottom w:val="none" w:sz="0" w:space="0" w:color="auto"/>
        <w:right w:val="none" w:sz="0" w:space="0" w:color="auto"/>
      </w:divBdr>
    </w:div>
    <w:div w:id="199579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2">
      <a:dk1>
        <a:sysClr val="windowText" lastClr="000000"/>
      </a:dk1>
      <a:lt1>
        <a:srgbClr val="002060"/>
      </a:lt1>
      <a:dk2>
        <a:srgbClr val="002060"/>
      </a:dk2>
      <a:lt2>
        <a:srgbClr val="002060"/>
      </a:lt2>
      <a:accent1>
        <a:srgbClr val="002060"/>
      </a:accent1>
      <a:accent2>
        <a:srgbClr val="002060"/>
      </a:accent2>
      <a:accent3>
        <a:srgbClr val="002060"/>
      </a:accent3>
      <a:accent4>
        <a:srgbClr val="002060"/>
      </a:accent4>
      <a:accent5>
        <a:srgbClr val="002060"/>
      </a:accent5>
      <a:accent6>
        <a:srgbClr val="002060"/>
      </a:accent6>
      <a:hlink>
        <a:srgbClr val="002060"/>
      </a:hlink>
      <a:folHlink>
        <a:srgbClr val="00206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5E5FE79760E7429AF4F41C02C54DE1" ma:contentTypeVersion="26" ma:contentTypeDescription="Create a new document." ma:contentTypeScope="" ma:versionID="6d55c84da53ac3d0055faceaf84d8437">
  <xsd:schema xmlns:xsd="http://www.w3.org/2001/XMLSchema" xmlns:xs="http://www.w3.org/2001/XMLSchema" xmlns:p="http://schemas.microsoft.com/office/2006/metadata/properties" xmlns:ns2="0284e964-ce92-4033-868e-683aec67c87f" xmlns:ns3="373da778-fa0a-4130-9c6a-4a10effcac16" targetNamespace="http://schemas.microsoft.com/office/2006/metadata/properties" ma:root="true" ma:fieldsID="059400fead7850404946c502284035cc" ns2:_="" ns3:_="">
    <xsd:import namespace="0284e964-ce92-4033-868e-683aec67c87f"/>
    <xsd:import namespace="373da778-fa0a-4130-9c6a-4a10effcac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4e964-ce92-4033-868e-683aec67c8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929757e9-e458-4778-af7c-45fd73c8a7ea}" ma:internalName="TaxCatchAll" ma:showField="CatchAllData" ma:web="0284e964-ce92-4033-868e-683aec67c8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3da778-fa0a-4130-9c6a-4a10effcac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34b0240-ff7f-443d-a412-112ccf5e5e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0284e964-ce92-4033-868e-683aec67c87f">AYF3VUWND442-1142192172-848648</_dlc_DocId>
    <lcf76f155ced4ddcb4097134ff3c332f xmlns="373da778-fa0a-4130-9c6a-4a10effcac16">
      <Terms xmlns="http://schemas.microsoft.com/office/infopath/2007/PartnerControls"/>
    </lcf76f155ced4ddcb4097134ff3c332f>
    <TaxCatchAll xmlns="0284e964-ce92-4033-868e-683aec67c87f" xsi:nil="true"/>
    <_dlc_DocIdUrl xmlns="0284e964-ce92-4033-868e-683aec67c87f">
      <Url>https://aspenni.sharepoint.com/sites/HCIDocuments/_layouts/15/DocIdRedir.aspx?ID=AYF3VUWND442-1142192172-848648</Url>
      <Description>AYF3VUWND442-1142192172-848648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B40AF-C739-4046-A155-892C2E714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4e964-ce92-4033-868e-683aec67c87f"/>
    <ds:schemaRef ds:uri="373da778-fa0a-4130-9c6a-4a10effca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4CD858-486E-4394-8988-1F54F6F6E9E1}">
  <ds:schemaRefs>
    <ds:schemaRef ds:uri="http://schemas.microsoft.com/sharepoint/events"/>
  </ds:schemaRefs>
</ds:datastoreItem>
</file>

<file path=customXml/itemProps3.xml><?xml version="1.0" encoding="utf-8"?>
<ds:datastoreItem xmlns:ds="http://schemas.openxmlformats.org/officeDocument/2006/customXml" ds:itemID="{5664DDD2-206B-4410-99BA-5C78E766929A}">
  <ds:schemaRefs>
    <ds:schemaRef ds:uri="http://schemas.openxmlformats.org/officeDocument/2006/bibliography"/>
  </ds:schemaRefs>
</ds:datastoreItem>
</file>

<file path=customXml/itemProps4.xml><?xml version="1.0" encoding="utf-8"?>
<ds:datastoreItem xmlns:ds="http://schemas.openxmlformats.org/officeDocument/2006/customXml" ds:itemID="{730FDD67-F565-40FA-91E9-B595E48D121A}">
  <ds:schemaRefs>
    <ds:schemaRef ds:uri="http://schemas.microsoft.com/office/2006/metadata/properties"/>
    <ds:schemaRef ds:uri="http://schemas.microsoft.com/office/infopath/2007/PartnerControls"/>
    <ds:schemaRef ds:uri="0284e964-ce92-4033-868e-683aec67c87f"/>
    <ds:schemaRef ds:uri="373da778-fa0a-4130-9c6a-4a10effcac16"/>
  </ds:schemaRefs>
</ds:datastoreItem>
</file>

<file path=customXml/itemProps5.xml><?xml version="1.0" encoding="utf-8"?>
<ds:datastoreItem xmlns:ds="http://schemas.openxmlformats.org/officeDocument/2006/customXml" ds:itemID="{EF5F1023-9A17-4995-889C-128BE90DB2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1868</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McNeill</dc:creator>
  <cp:keywords/>
  <dc:description/>
  <cp:lastModifiedBy>Connie McNeill</cp:lastModifiedBy>
  <cp:revision>3</cp:revision>
  <cp:lastPrinted>2024-12-17T09:42:00Z</cp:lastPrinted>
  <dcterms:created xsi:type="dcterms:W3CDTF">2026-08-18T12:35:00Z</dcterms:created>
  <dcterms:modified xsi:type="dcterms:W3CDTF">2026-08-18T12:42:00Z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0x0101000F5E5FE79760E7429AF4F41C02C54DE1</vt:lpwstr>
  </property>
  <property fmtid="{D5CDD505-2E9C-101B-9397-08002B2CF9AE}" pid="4" name="_dlc_DocIdItemGuid">
    <vt:lpwstr>039747b9-7748-48f3-9a47-2afe27a4a72f</vt:lpwstr>
  </property>
</Properties>
</file>